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A994E" w14:textId="38B12D6B" w:rsidR="00442231" w:rsidRPr="006F703F" w:rsidRDefault="00DC40F8" w:rsidP="003B2AE9">
      <w:pPr>
        <w:spacing w:after="0" w:line="240" w:lineRule="auto"/>
        <w:jc w:val="center"/>
        <w:rPr>
          <w:rFonts w:ascii="Times New Roman" w:hAnsi="Times New Roman" w:cs="Times New Roman"/>
          <w:b/>
          <w:bCs/>
        </w:rPr>
      </w:pPr>
      <w:r w:rsidRPr="006F703F">
        <w:rPr>
          <w:rFonts w:ascii="Times New Roman" w:hAnsi="Times New Roman" w:cs="Times New Roman"/>
          <w:b/>
          <w:bCs/>
        </w:rPr>
        <w:t xml:space="preserve">DETERMINA DI </w:t>
      </w:r>
      <w:r w:rsidR="00442231" w:rsidRPr="006F703F">
        <w:rPr>
          <w:rFonts w:ascii="Times New Roman" w:hAnsi="Times New Roman" w:cs="Times New Roman"/>
          <w:b/>
          <w:bCs/>
        </w:rPr>
        <w:t>NOMINA COMMISSIONE GIUDICATRICE</w:t>
      </w:r>
    </w:p>
    <w:p w14:paraId="002826E2" w14:textId="77777777" w:rsidR="00923547" w:rsidRPr="006F703F" w:rsidRDefault="00923547" w:rsidP="00923547">
      <w:pPr>
        <w:spacing w:after="0" w:line="240" w:lineRule="auto"/>
        <w:rPr>
          <w:rFonts w:ascii="Times New Roman" w:hAnsi="Times New Roman" w:cs="Times New Roman"/>
          <w:b/>
          <w:bCs/>
        </w:rPr>
      </w:pPr>
    </w:p>
    <w:p w14:paraId="5FF8F640" w14:textId="5A497038" w:rsidR="00442231" w:rsidRPr="006F703F" w:rsidRDefault="00442231" w:rsidP="003B2AE9">
      <w:pPr>
        <w:spacing w:after="0" w:line="240" w:lineRule="auto"/>
        <w:rPr>
          <w:rFonts w:ascii="Times New Roman" w:hAnsi="Times New Roman" w:cs="Times New Roman"/>
        </w:rPr>
      </w:pPr>
      <w:r w:rsidRPr="006F703F">
        <w:rPr>
          <w:rFonts w:ascii="Times New Roman" w:hAnsi="Times New Roman" w:cs="Times New Roman"/>
        </w:rPr>
        <w:t>DETERMINA N.</w:t>
      </w:r>
      <w:r w:rsidR="00A0788E" w:rsidRPr="006F703F">
        <w:rPr>
          <w:rFonts w:ascii="Times New Roman" w:hAnsi="Times New Roman" w:cs="Times New Roman"/>
        </w:rPr>
        <w:t xml:space="preserve"> [</w:t>
      </w:r>
      <w:r w:rsidR="001A417C" w:rsidRPr="006F703F">
        <w:rPr>
          <w:rFonts w:ascii="Times New Roman" w:hAnsi="Times New Roman" w:cs="Times New Roman"/>
        </w:rPr>
        <w:t>_____</w:t>
      </w:r>
      <w:r w:rsidR="00A0788E" w:rsidRPr="006F703F">
        <w:rPr>
          <w:rFonts w:ascii="Times New Roman" w:hAnsi="Times New Roman" w:cs="Times New Roman"/>
        </w:rPr>
        <w:t>]</w:t>
      </w:r>
    </w:p>
    <w:p w14:paraId="4E630855" w14:textId="77777777" w:rsidR="009A737A" w:rsidRPr="006F703F" w:rsidRDefault="009A737A" w:rsidP="003B2AE9">
      <w:pPr>
        <w:spacing w:after="0" w:line="240" w:lineRule="auto"/>
        <w:rPr>
          <w:rFonts w:ascii="Times New Roman" w:hAnsi="Times New Roman" w:cs="Times New Roman"/>
        </w:rPr>
      </w:pPr>
    </w:p>
    <w:p w14:paraId="6C72FA3B" w14:textId="77777777" w:rsidR="001E06B3" w:rsidRPr="009F6EB8" w:rsidRDefault="009A737A" w:rsidP="001E06B3">
      <w:pPr>
        <w:spacing w:after="80" w:line="240" w:lineRule="auto"/>
        <w:jc w:val="both"/>
        <w:rPr>
          <w:rFonts w:ascii="Times New Roman" w:hAnsi="Times New Roman" w:cs="Times New Roman"/>
          <w:b/>
          <w:color w:val="2F5496" w:themeColor="accent1" w:themeShade="BF"/>
        </w:rPr>
      </w:pPr>
      <w:r w:rsidRPr="006F703F">
        <w:rPr>
          <w:rFonts w:ascii="Times New Roman" w:hAnsi="Times New Roman" w:cs="Times New Roman"/>
          <w:b/>
          <w:bCs/>
        </w:rPr>
        <w:t>OGGETTO</w:t>
      </w:r>
      <w:r w:rsidR="00442231" w:rsidRPr="006F703F">
        <w:rPr>
          <w:rFonts w:ascii="Times New Roman" w:hAnsi="Times New Roman" w:cs="Times New Roman"/>
        </w:rPr>
        <w:t xml:space="preserve">: </w:t>
      </w:r>
      <w:r w:rsidR="00A47428" w:rsidRPr="006F703F">
        <w:rPr>
          <w:rFonts w:ascii="Times New Roman" w:hAnsi="Times New Roman" w:cs="Times New Roman"/>
          <w:b/>
          <w:bCs/>
        </w:rPr>
        <w:t xml:space="preserve">Provvedimento di </w:t>
      </w:r>
      <w:r w:rsidR="003C1921" w:rsidRPr="006F703F">
        <w:rPr>
          <w:rFonts w:ascii="Times New Roman" w:hAnsi="Times New Roman" w:cs="Times New Roman"/>
          <w:b/>
          <w:bCs/>
        </w:rPr>
        <w:t>nomina della com</w:t>
      </w:r>
      <w:r w:rsidR="002C329F" w:rsidRPr="006F703F">
        <w:rPr>
          <w:rFonts w:ascii="Times New Roman" w:hAnsi="Times New Roman" w:cs="Times New Roman"/>
          <w:b/>
          <w:bCs/>
        </w:rPr>
        <w:t>missione</w:t>
      </w:r>
      <w:r w:rsidR="001E357E" w:rsidRPr="006F703F">
        <w:rPr>
          <w:rFonts w:ascii="Times New Roman" w:hAnsi="Times New Roman" w:cs="Times New Roman"/>
          <w:b/>
          <w:bCs/>
        </w:rPr>
        <w:t xml:space="preserve"> </w:t>
      </w:r>
      <w:r w:rsidR="007012B3" w:rsidRPr="006F703F">
        <w:rPr>
          <w:rFonts w:ascii="Times New Roman" w:hAnsi="Times New Roman" w:cs="Times New Roman"/>
          <w:b/>
          <w:bCs/>
        </w:rPr>
        <w:t>giudicatrice</w:t>
      </w:r>
      <w:r w:rsidR="00A47428" w:rsidRPr="006F703F">
        <w:rPr>
          <w:rFonts w:ascii="Times New Roman" w:hAnsi="Times New Roman" w:cs="Times New Roman"/>
          <w:b/>
          <w:bCs/>
        </w:rPr>
        <w:t xml:space="preserve"> relat</w:t>
      </w:r>
      <w:r w:rsidR="003C1921" w:rsidRPr="006F703F">
        <w:rPr>
          <w:rFonts w:ascii="Times New Roman" w:hAnsi="Times New Roman" w:cs="Times New Roman"/>
          <w:b/>
          <w:bCs/>
        </w:rPr>
        <w:t>i</w:t>
      </w:r>
      <w:r w:rsidR="00A47428" w:rsidRPr="006F703F">
        <w:rPr>
          <w:rFonts w:ascii="Times New Roman" w:hAnsi="Times New Roman" w:cs="Times New Roman"/>
          <w:b/>
          <w:bCs/>
        </w:rPr>
        <w:t xml:space="preserve">vo </w:t>
      </w:r>
      <w:r w:rsidR="007012B3" w:rsidRPr="006F703F">
        <w:rPr>
          <w:rFonts w:ascii="Times New Roman" w:hAnsi="Times New Roman" w:cs="Times New Roman"/>
          <w:b/>
          <w:bCs/>
        </w:rPr>
        <w:t>alla procedura di gara</w:t>
      </w:r>
      <w:r w:rsidR="00A47428" w:rsidRPr="006F703F">
        <w:rPr>
          <w:rFonts w:ascii="Times New Roman" w:hAnsi="Times New Roman" w:cs="Times New Roman"/>
          <w:b/>
          <w:bCs/>
        </w:rPr>
        <w:t xml:space="preserve"> [</w:t>
      </w:r>
      <w:r w:rsidR="00A47428" w:rsidRPr="006F703F">
        <w:rPr>
          <w:rFonts w:ascii="Times New Roman" w:hAnsi="Times New Roman" w:cs="Times New Roman"/>
          <w:b/>
          <w:bCs/>
          <w:i/>
          <w:iCs/>
        </w:rPr>
        <w:t>inserire</w:t>
      </w:r>
      <w:r w:rsidR="00A47428" w:rsidRPr="006F703F">
        <w:rPr>
          <w:rFonts w:ascii="Times New Roman" w:hAnsi="Times New Roman" w:cs="Times New Roman"/>
          <w:b/>
          <w:bCs/>
        </w:rPr>
        <w:t xml:space="preserve"> descrizione procedura] per la realizzazione dell’intervento [</w:t>
      </w:r>
      <w:r w:rsidR="00A47428" w:rsidRPr="006F703F">
        <w:rPr>
          <w:rFonts w:ascii="Times New Roman" w:hAnsi="Times New Roman" w:cs="Times New Roman"/>
          <w:b/>
          <w:bCs/>
          <w:i/>
          <w:iCs/>
        </w:rPr>
        <w:t xml:space="preserve">inserire </w:t>
      </w:r>
      <w:r w:rsidR="00A47428" w:rsidRPr="006F703F">
        <w:rPr>
          <w:rFonts w:ascii="Times New Roman" w:hAnsi="Times New Roman" w:cs="Times New Roman"/>
          <w:b/>
          <w:bCs/>
        </w:rPr>
        <w:t xml:space="preserve">denominazione] </w:t>
      </w:r>
      <w:r w:rsidR="001E06B3" w:rsidRPr="009F6EB8">
        <w:rPr>
          <w:rFonts w:ascii="Times New Roman" w:hAnsi="Times New Roman" w:cs="Times New Roman"/>
          <w:b/>
          <w:color w:val="2F5496" w:themeColor="accent1" w:themeShade="BF"/>
        </w:rPr>
        <w:t xml:space="preserve">nell’ambito dell’Investimento </w:t>
      </w:r>
      <w:r w:rsidR="001E06B3" w:rsidRPr="009F6EB8">
        <w:rPr>
          <w:rFonts w:ascii="Times New Roman" w:hAnsi="Times New Roman" w:cs="Times New Roman"/>
          <w:b/>
          <w:iCs/>
          <w:color w:val="2F5496" w:themeColor="accent1" w:themeShade="BF"/>
        </w:rPr>
        <w:t>1.2</w:t>
      </w:r>
      <w:r w:rsidR="001E06B3" w:rsidRPr="009F6EB8">
        <w:rPr>
          <w:rFonts w:ascii="Times New Roman" w:hAnsi="Times New Roman" w:cs="Times New Roman"/>
          <w:b/>
          <w:i/>
          <w:color w:val="2F5496" w:themeColor="accent1" w:themeShade="BF"/>
        </w:rPr>
        <w:t xml:space="preserve"> “Rimozione delle barriere fisiche e cognitive in musei, biblioteche e archivi” </w:t>
      </w:r>
      <w:r w:rsidR="001E06B3" w:rsidRPr="009F6EB8">
        <w:rPr>
          <w:rFonts w:ascii="Times New Roman" w:hAnsi="Times New Roman" w:cs="Times New Roman"/>
          <w:b/>
          <w:color w:val="2F5496" w:themeColor="accent1" w:themeShade="BF"/>
        </w:rPr>
        <w:t>(M1C3) finanziato dall’Unione europea – NextGenerationEU</w:t>
      </w:r>
    </w:p>
    <w:p w14:paraId="1213C502" w14:textId="7D4D6AB2" w:rsidR="00440C0D" w:rsidRPr="006F703F" w:rsidRDefault="00440C0D" w:rsidP="00923547">
      <w:pPr>
        <w:spacing w:after="80" w:line="240" w:lineRule="auto"/>
        <w:jc w:val="both"/>
        <w:rPr>
          <w:rFonts w:ascii="Times New Roman" w:hAnsi="Times New Roman" w:cs="Times New Roman"/>
          <w:b/>
          <w:color w:val="2F5496" w:themeColor="accent1" w:themeShade="BF"/>
        </w:rPr>
      </w:pPr>
      <w:r w:rsidRPr="006F703F">
        <w:rPr>
          <w:rFonts w:ascii="Times New Roman" w:hAnsi="Times New Roman" w:cs="Times New Roman"/>
          <w:b/>
          <w:color w:val="2F5496" w:themeColor="accent1" w:themeShade="BF"/>
        </w:rPr>
        <w:t>CIG____CUP _____</w:t>
      </w:r>
    </w:p>
    <w:p w14:paraId="2122F6D6" w14:textId="77777777" w:rsidR="00440C0D" w:rsidRPr="006F703F" w:rsidRDefault="00440C0D" w:rsidP="003B2AE9">
      <w:pPr>
        <w:spacing w:after="0" w:line="240" w:lineRule="auto"/>
        <w:jc w:val="both"/>
        <w:rPr>
          <w:rFonts w:ascii="Times New Roman" w:hAnsi="Times New Roman" w:cs="Times New Roman"/>
          <w:b/>
          <w:color w:val="2F5496" w:themeColor="accent1" w:themeShade="BF"/>
        </w:rPr>
      </w:pPr>
    </w:p>
    <w:p w14:paraId="62AF4B00" w14:textId="170C203B" w:rsidR="00DF54D3" w:rsidRPr="006F703F" w:rsidRDefault="00DF54D3" w:rsidP="003B2AE9">
      <w:pPr>
        <w:spacing w:after="0" w:line="240" w:lineRule="auto"/>
        <w:jc w:val="both"/>
        <w:rPr>
          <w:rFonts w:ascii="Times New Roman" w:hAnsi="Times New Roman" w:cs="Times New Roman"/>
        </w:rPr>
      </w:pPr>
      <w:r w:rsidRPr="006F703F">
        <w:rPr>
          <w:rFonts w:ascii="Times New Roman" w:hAnsi="Times New Roman" w:cs="Times New Roman"/>
        </w:rPr>
        <w:t>Il/la sottoscritto/a</w:t>
      </w:r>
      <w:r w:rsidR="00A0788E" w:rsidRPr="006F703F">
        <w:rPr>
          <w:rFonts w:ascii="Times New Roman" w:hAnsi="Times New Roman" w:cs="Times New Roman"/>
        </w:rPr>
        <w:t xml:space="preserve"> </w:t>
      </w:r>
      <w:r w:rsidR="00852525" w:rsidRPr="006F703F">
        <w:rPr>
          <w:rFonts w:ascii="Times New Roman" w:hAnsi="Times New Roman" w:cs="Times New Roman"/>
          <w:b/>
        </w:rPr>
        <w:t>_____</w:t>
      </w:r>
      <w:r w:rsidR="00473BF4" w:rsidRPr="006F703F">
        <w:rPr>
          <w:rFonts w:ascii="Times New Roman" w:hAnsi="Times New Roman" w:cs="Times New Roman"/>
          <w:b/>
        </w:rPr>
        <w:t>__________________</w:t>
      </w:r>
      <w:r w:rsidRPr="006F703F">
        <w:rPr>
          <w:rFonts w:ascii="Times New Roman" w:hAnsi="Times New Roman" w:cs="Times New Roman"/>
        </w:rPr>
        <w:t xml:space="preserve">, in qualità di </w:t>
      </w:r>
      <w:r w:rsidR="000C26D5" w:rsidRPr="006F703F">
        <w:rPr>
          <w:rFonts w:ascii="Times New Roman" w:hAnsi="Times New Roman" w:cs="Times New Roman"/>
        </w:rPr>
        <w:t>Dirigente e Responsabile del Settore</w:t>
      </w:r>
      <w:r w:rsidRPr="006F703F">
        <w:rPr>
          <w:rFonts w:ascii="Times New Roman" w:hAnsi="Times New Roman" w:cs="Times New Roman"/>
        </w:rPr>
        <w:t>,</w:t>
      </w:r>
    </w:p>
    <w:p w14:paraId="4E31D026" w14:textId="77777777" w:rsidR="00DB67FA" w:rsidRPr="006F703F" w:rsidRDefault="00DB67FA" w:rsidP="003B2AE9">
      <w:pPr>
        <w:spacing w:after="0" w:line="240" w:lineRule="auto"/>
        <w:jc w:val="center"/>
        <w:rPr>
          <w:rFonts w:ascii="Times New Roman" w:hAnsi="Times New Roman" w:cs="Times New Roman"/>
          <w:b/>
          <w:bCs/>
        </w:rPr>
      </w:pPr>
    </w:p>
    <w:p w14:paraId="2D94A798" w14:textId="5B1EF88B" w:rsidR="00A70BF4" w:rsidRPr="006F703F" w:rsidRDefault="00337BD0" w:rsidP="003B2AE9">
      <w:pPr>
        <w:spacing w:after="0" w:line="240" w:lineRule="auto"/>
        <w:jc w:val="center"/>
        <w:rPr>
          <w:rFonts w:ascii="Times New Roman" w:hAnsi="Times New Roman" w:cs="Times New Roman"/>
          <w:b/>
          <w:bCs/>
        </w:rPr>
      </w:pPr>
      <w:r w:rsidRPr="006F703F">
        <w:rPr>
          <w:rFonts w:ascii="Times New Roman" w:hAnsi="Times New Roman" w:cs="Times New Roman"/>
          <w:b/>
          <w:bCs/>
        </w:rPr>
        <w:t>PREMESSE</w:t>
      </w:r>
    </w:p>
    <w:p w14:paraId="595C7CF7" w14:textId="77777777" w:rsidR="00923547" w:rsidRPr="006F703F" w:rsidRDefault="00923547" w:rsidP="003B2AE9">
      <w:pPr>
        <w:spacing w:after="0" w:line="240" w:lineRule="auto"/>
        <w:jc w:val="center"/>
        <w:rPr>
          <w:rFonts w:ascii="Times New Roman" w:hAnsi="Times New Roman" w:cs="Times New Roman"/>
          <w:b/>
          <w:bCs/>
        </w:rPr>
      </w:pPr>
    </w:p>
    <w:p w14:paraId="76BDE458"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Regolamento (UE) n. 2021/241, che istituisce il dispositivo per la ripresa e la resilienza;</w:t>
      </w:r>
    </w:p>
    <w:p w14:paraId="6DEE0D3C"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VISTO il Piano Nazionale di Ripresa e Resilienza (PNRR) approvato con Decisione del Consiglio ECOFIN del 13/07/2021 e notificata all’Italia dal Segretariato generale del Consiglio con nota LT161/21 del 14/07/2021; </w:t>
      </w:r>
    </w:p>
    <w:p w14:paraId="607EAE02"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Regolamento (UE) 2018/1046, che stabilisce le regole finanziarie applicabili al bilancio generale dell’Unione, che modifica i Regolamenti (UE) n. 1296/2013, n. 1301/2013, n. 1303/2013, n. 1304/2013, n. 1309/2013, n. 1316/2013, n. 223/2014, n. 283/2014 e la decisione n. 541/2014/UE e abroga il regolamento (UE, Euratom) n. 966/2012;</w:t>
      </w:r>
    </w:p>
    <w:p w14:paraId="76E65C43"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7E6E78DD"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1, co. 1043, secondo periodo, della L. n. 178/2020, ai sensi del quale al fine di supportare le attività di gestione, di monitoraggio, di rendicontazione e di controllo delle componenti del Next Generation EU, il MEF – Dipartimento della Ragioneria generale dello Stato sviluppa e rende disponibile un apposito sistema informatico;</w:t>
      </w:r>
    </w:p>
    <w:p w14:paraId="6F1FA04E"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co. 1044 dello stesso art. 1 della L. n. 178/2020, ai sensi del quale con decreto del Presidente del Consiglio dei Ministri, su proposta del MEF, sono definite le modalità di rilevazione dei dati di attuazione finanziaria, fisica e procedurale relativi a ciascun progetto;</w:t>
      </w:r>
    </w:p>
    <w:p w14:paraId="2B55D170"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77/2021, conv. con mod. dalla L. n. 108/2021 (</w:t>
      </w:r>
      <w:r w:rsidRPr="00461F80">
        <w:rPr>
          <w:rFonts w:ascii="Times New Roman" w:eastAsia="Calibri" w:hAnsi="Times New Roman" w:cs="Times New Roman"/>
          <w:i/>
          <w:color w:val="2F5496"/>
        </w:rPr>
        <w:t>Governance del Piano nazionale di ripresa e resilienza e prime misure di rafforzamento delle strutture amministrative e di accelerazione e snellimento delle procedure</w:t>
      </w:r>
      <w:r w:rsidRPr="00461F80">
        <w:rPr>
          <w:rFonts w:ascii="Times New Roman" w:eastAsia="Calibri" w:hAnsi="Times New Roman" w:cs="Times New Roman"/>
          <w:color w:val="2F5496"/>
        </w:rPr>
        <w:t>);</w:t>
      </w:r>
    </w:p>
    <w:p w14:paraId="16508E55" w14:textId="6665FC0F" w:rsid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13/2023, conv. con mod. dalla L. n. 41/2023 (</w:t>
      </w:r>
      <w:r w:rsidRPr="00461F80">
        <w:rPr>
          <w:rFonts w:ascii="Times New Roman" w:eastAsia="Calibri" w:hAnsi="Times New Roman" w:cs="Times New Roman"/>
          <w:i/>
          <w:color w:val="2F5496"/>
        </w:rPr>
        <w:t>Disposizioni urgenti per l'attuazione del Piano nazionale di ripresa e resilienza (PNRR) e del Piano nazionale degli investimenti complementari al PNRR (PNC), nonché' per l'attuazione delle politiche di coesione e della politica agricola comune</w:t>
      </w:r>
      <w:r w:rsidRPr="00461F80">
        <w:rPr>
          <w:rFonts w:ascii="Times New Roman" w:eastAsia="Calibri" w:hAnsi="Times New Roman" w:cs="Times New Roman"/>
          <w:color w:val="2F5496"/>
        </w:rPr>
        <w:t>);</w:t>
      </w:r>
    </w:p>
    <w:p w14:paraId="7183B911" w14:textId="436EA840" w:rsidR="005056D0" w:rsidRPr="00AE6487" w:rsidRDefault="005056D0" w:rsidP="005056D0">
      <w:pPr>
        <w:numPr>
          <w:ilvl w:val="0"/>
          <w:numId w:val="8"/>
        </w:numPr>
        <w:spacing w:after="80" w:line="240" w:lineRule="auto"/>
        <w:ind w:left="567" w:hanging="567"/>
        <w:jc w:val="both"/>
        <w:rPr>
          <w:rFonts w:ascii="Times New Roman" w:hAnsi="Times New Roman" w:cs="Times New Roman"/>
          <w:color w:val="2F5496" w:themeColor="accent1" w:themeShade="BF"/>
        </w:rPr>
      </w:pPr>
      <w:bookmarkStart w:id="0" w:name="_GoBack"/>
      <w:bookmarkEnd w:id="0"/>
      <w:r w:rsidRPr="00AE6487">
        <w:rPr>
          <w:rFonts w:ascii="Times New Roman" w:eastAsia="Calibri" w:hAnsi="Times New Roman" w:cs="Times New Roman"/>
          <w:color w:val="2F5496" w:themeColor="accent1" w:themeShade="BF"/>
        </w:rPr>
        <w:t xml:space="preserve">VISTA la </w:t>
      </w:r>
      <w:r w:rsidRPr="00AE6487">
        <w:rPr>
          <w:rFonts w:ascii="Times New Roman" w:hAnsi="Times New Roman" w:cs="Times New Roman"/>
          <w:color w:val="2F5496" w:themeColor="accent1" w:themeShade="BF"/>
        </w:rPr>
        <w:t>Missione 1 –Digitalizzazione, innovazione, competitività e cultura, Component 3 –Cultura 4.0 (M1C3), Misura 1 “</w:t>
      </w:r>
      <w:r w:rsidRPr="00AE6487">
        <w:rPr>
          <w:rFonts w:ascii="Times New Roman" w:hAnsi="Times New Roman" w:cs="Times New Roman"/>
          <w:i/>
          <w:iCs/>
          <w:color w:val="2F5496" w:themeColor="accent1" w:themeShade="BF"/>
        </w:rPr>
        <w:t>Patrimonio culturale per la prossima generazione</w:t>
      </w:r>
      <w:r w:rsidRPr="00AE6487">
        <w:rPr>
          <w:rFonts w:ascii="Times New Roman" w:hAnsi="Times New Roman" w:cs="Times New Roman"/>
          <w:color w:val="2F5496" w:themeColor="accent1" w:themeShade="BF"/>
        </w:rPr>
        <w:t>”, Investimento 1.2: “</w:t>
      </w:r>
      <w:r w:rsidRPr="00AE6487">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Pr="00AE6487">
        <w:rPr>
          <w:rFonts w:ascii="Times New Roman" w:hAnsi="Times New Roman" w:cs="Times New Roman"/>
          <w:color w:val="2F5496" w:themeColor="accent1" w:themeShade="BF"/>
        </w:rPr>
        <w:t>”;</w:t>
      </w:r>
    </w:p>
    <w:p w14:paraId="2B7101C9" w14:textId="77777777" w:rsidR="00461F80" w:rsidRPr="00AF27F1" w:rsidRDefault="00461F80" w:rsidP="00461F8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AF27F1">
        <w:rPr>
          <w:rFonts w:ascii="Times New Roman" w:eastAsia="Calibri" w:hAnsi="Times New Roman" w:cs="Times New Roman"/>
          <w:color w:val="2F5496" w:themeColor="accent1" w:themeShade="BF"/>
        </w:rPr>
        <w:t>VISTO l’art. 8 co. 5 del D.L n. 215/2023 (</w:t>
      </w:r>
      <w:r w:rsidRPr="00AF27F1">
        <w:rPr>
          <w:rFonts w:ascii="Times New Roman" w:eastAsia="Calibri" w:hAnsi="Times New Roman" w:cs="Times New Roman"/>
          <w:i/>
          <w:color w:val="2F5496" w:themeColor="accent1" w:themeShade="BF"/>
        </w:rPr>
        <w:t>Disposizioni urgenti in materia di termini normativi</w:t>
      </w:r>
      <w:r w:rsidRPr="00AF27F1">
        <w:rPr>
          <w:rFonts w:ascii="Times New Roman" w:eastAsia="Calibri" w:hAnsi="Times New Roman" w:cs="Times New Roman"/>
          <w:color w:val="2F5496" w:themeColor="accent1" w:themeShade="BF"/>
        </w:rPr>
        <w:t>) che ha stabilito la proroga della vigenza, sino al 30 giugno 2024, delle disposizioni contenute nell’art. 14 co. 4 del D.L. n. 13/2023, conv. con mod. dalla L. n. 41/2023;</w:t>
      </w:r>
    </w:p>
    <w:p w14:paraId="295E4A9F" w14:textId="77777777" w:rsidR="00461F80" w:rsidRPr="00AF27F1" w:rsidRDefault="00461F80" w:rsidP="00461F8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AF27F1">
        <w:rPr>
          <w:rFonts w:ascii="Times New Roman" w:eastAsia="Calibri" w:hAnsi="Times New Roman" w:cs="Times New Roman"/>
          <w:color w:val="2F5496" w:themeColor="accent1" w:themeShade="BF"/>
        </w:rPr>
        <w:t>VISTI, in particolare, gli artt. 1, 2, ad esclusione del comma 4, 5, 6 e 8 del decreto-legge 16 luglio 2020, n. 76, convertito, con modificazioni, dalla legge 11 settembre 2020, n. 120 [</w:t>
      </w:r>
      <w:r w:rsidRPr="00AF27F1">
        <w:rPr>
          <w:rFonts w:ascii="Times New Roman" w:eastAsia="Calibri" w:hAnsi="Times New Roman" w:cs="Times New Roman"/>
          <w:i/>
          <w:color w:val="2F5496" w:themeColor="accent1" w:themeShade="BF"/>
        </w:rPr>
        <w:t>applicabili fino al 30 giugno 2024</w:t>
      </w:r>
      <w:r w:rsidRPr="00AF27F1">
        <w:rPr>
          <w:rFonts w:ascii="Times New Roman" w:eastAsia="Calibri" w:hAnsi="Times New Roman" w:cs="Times New Roman"/>
          <w:color w:val="2F5496" w:themeColor="accent1" w:themeShade="BF"/>
        </w:rPr>
        <w:t>];</w:t>
      </w:r>
    </w:p>
    <w:p w14:paraId="21617DFF" w14:textId="77777777" w:rsidR="00461F80" w:rsidRPr="00AF27F1" w:rsidRDefault="00461F80" w:rsidP="00461F8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AF27F1">
        <w:rPr>
          <w:rFonts w:ascii="Times New Roman" w:eastAsia="Calibri" w:hAnsi="Times New Roman" w:cs="Times New Roman"/>
          <w:color w:val="2F5496" w:themeColor="accent1" w:themeShade="BF"/>
        </w:rPr>
        <w:lastRenderedPageBreak/>
        <w:t>VISTO l'articolo 3, commi da 1 a 6, del decreto-legge 16 luglio 2020, n. 76, convertito, con modificazioni, dalla legge 11 settembre 2020, n. 120 [</w:t>
      </w:r>
      <w:r w:rsidRPr="00AF27F1">
        <w:rPr>
          <w:rFonts w:ascii="Times New Roman" w:eastAsia="Calibri" w:hAnsi="Times New Roman" w:cs="Times New Roman"/>
          <w:i/>
          <w:color w:val="2F5496" w:themeColor="accent1" w:themeShade="BF"/>
        </w:rPr>
        <w:t>applicabile fino al 31 dicembre 2026</w:t>
      </w:r>
      <w:r w:rsidRPr="00AF27F1">
        <w:rPr>
          <w:rFonts w:ascii="Times New Roman" w:eastAsia="Calibri" w:hAnsi="Times New Roman" w:cs="Times New Roman"/>
          <w:color w:val="2F5496" w:themeColor="accent1" w:themeShade="BF"/>
        </w:rPr>
        <w:t>];</w:t>
      </w:r>
    </w:p>
    <w:p w14:paraId="4225B9F5"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36/2022 (</w:t>
      </w:r>
      <w:r w:rsidRPr="00461F80">
        <w:rPr>
          <w:rFonts w:ascii="Times New Roman" w:eastAsia="Calibri" w:hAnsi="Times New Roman" w:cs="Times New Roman"/>
          <w:i/>
          <w:iCs/>
          <w:color w:val="2F5496"/>
        </w:rPr>
        <w:t>Ulteriori misure urgenti per l’attuazione del Piano nazionale di ripresa e resilienza (PNRR)</w:t>
      </w:r>
      <w:r w:rsidRPr="00461F80">
        <w:rPr>
          <w:rFonts w:ascii="Times New Roman" w:eastAsia="Calibri" w:hAnsi="Times New Roman" w:cs="Times New Roman"/>
          <w:color w:val="2F5496"/>
        </w:rPr>
        <w:t>) pubblicato nella G.U. n. 100 del 30/04/2022, come conv. con mod. dalla L. n. 79/2022;</w:t>
      </w:r>
    </w:p>
    <w:p w14:paraId="3C5BCDC9"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VISTO il decreto del MEF del 06/08/2021, relativo all’assegnazione delle risorse in favore di ciascuna Amministrazione titolare degli interventi PNRR e corrispondenti </w:t>
      </w:r>
      <w:r w:rsidRPr="00461F80">
        <w:rPr>
          <w:rFonts w:ascii="Times New Roman" w:eastAsia="Calibri" w:hAnsi="Times New Roman" w:cs="Times New Roman"/>
          <w:i/>
          <w:iCs/>
          <w:color w:val="2F5496"/>
        </w:rPr>
        <w:t>milestone</w:t>
      </w:r>
      <w:r w:rsidRPr="00461F80">
        <w:rPr>
          <w:rFonts w:ascii="Times New Roman" w:eastAsia="Calibri" w:hAnsi="Times New Roman" w:cs="Times New Roman"/>
          <w:color w:val="2F5496"/>
        </w:rPr>
        <w:t xml:space="preserve"> e </w:t>
      </w:r>
      <w:r w:rsidRPr="00461F80">
        <w:rPr>
          <w:rFonts w:ascii="Times New Roman" w:eastAsia="Calibri" w:hAnsi="Times New Roman" w:cs="Times New Roman"/>
          <w:i/>
          <w:iCs/>
          <w:color w:val="2F5496"/>
        </w:rPr>
        <w:t>target</w:t>
      </w:r>
      <w:r w:rsidRPr="00461F80">
        <w:rPr>
          <w:rFonts w:ascii="Times New Roman" w:eastAsia="Calibri" w:hAnsi="Times New Roman" w:cs="Times New Roman"/>
          <w:color w:val="2F5496"/>
        </w:rPr>
        <w:t>;</w:t>
      </w:r>
    </w:p>
    <w:p w14:paraId="28F2736F"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121/2021 (</w:t>
      </w:r>
      <w:r w:rsidRPr="00461F80">
        <w:rPr>
          <w:rFonts w:ascii="Times New Roman" w:eastAsia="Calibri" w:hAnsi="Times New Roman" w:cs="Times New Roman"/>
          <w:i/>
          <w:iCs/>
          <w:color w:val="2F5496"/>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461F80">
        <w:rPr>
          <w:rFonts w:ascii="Times New Roman" w:eastAsia="Calibri" w:hAnsi="Times New Roman" w:cs="Times New Roman"/>
          <w:color w:val="2F5496"/>
        </w:rPr>
        <w:t>);</w:t>
      </w:r>
    </w:p>
    <w:p w14:paraId="784333E0"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D.P.C.M. del 15/09/2021 con il quale sono stati individuati gli strumenti per il monitoraggio del PNRR;</w:t>
      </w:r>
    </w:p>
    <w:p w14:paraId="452A0E50"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VISTO il decreto del MEF del 11/10/2021 </w:t>
      </w:r>
      <w:r w:rsidRPr="00461F80">
        <w:rPr>
          <w:rFonts w:ascii="Times New Roman" w:eastAsia="Calibri" w:hAnsi="Times New Roman" w:cs="Times New Roman"/>
          <w:i/>
          <w:iCs/>
          <w:color w:val="2F5496"/>
        </w:rPr>
        <w:t>(Procedure relative alla gestione finanziaria delle risorse previste nell’ambito del PNRR</w:t>
      </w:r>
      <w:r w:rsidRPr="00461F80">
        <w:rPr>
          <w:rFonts w:ascii="Times New Roman" w:eastAsia="Calibri" w:hAnsi="Times New Roman" w:cs="Times New Roman"/>
          <w:color w:val="2F5496"/>
        </w:rPr>
        <w:t>), come modificato dal decreto del MEF del 5/08/2022;</w:t>
      </w:r>
    </w:p>
    <w:p w14:paraId="7973E94D"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17 Regolamento (UE) 2020/852 che definisce gli obiettivi ambientali, tra cui il principio di non arrecare un danno significativo (DNSH, “</w:t>
      </w:r>
      <w:r w:rsidRPr="00461F80">
        <w:rPr>
          <w:rFonts w:ascii="Times New Roman" w:eastAsia="Calibri" w:hAnsi="Times New Roman" w:cs="Times New Roman"/>
          <w:i/>
          <w:iCs/>
          <w:color w:val="2F5496"/>
        </w:rPr>
        <w:t>Do no significant harm</w:t>
      </w:r>
      <w:r w:rsidRPr="00461F80">
        <w:rPr>
          <w:rFonts w:ascii="Times New Roman" w:eastAsia="Calibri" w:hAnsi="Times New Roman" w:cs="Times New Roman"/>
          <w:color w:val="2F5496"/>
        </w:rPr>
        <w:t>”) e la Comunicazione della Commissione UE 2021/C 58/01</w:t>
      </w:r>
      <w:r w:rsidRPr="00461F80">
        <w:rPr>
          <w:rFonts w:ascii="Times New Roman" w:eastAsia="Calibri" w:hAnsi="Times New Roman" w:cs="Times New Roman"/>
          <w:i/>
          <w:color w:val="2F5496"/>
        </w:rPr>
        <w:t xml:space="preserve">(Orientamenti tecnici sull’applicazione del principio </w:t>
      </w:r>
      <w:r w:rsidRPr="00461F80">
        <w:rPr>
          <w:rFonts w:ascii="Times New Roman" w:eastAsia="Calibri" w:hAnsi="Times New Roman" w:cs="Times New Roman"/>
          <w:color w:val="2F5496"/>
        </w:rPr>
        <w:t>«</w:t>
      </w:r>
      <w:r w:rsidRPr="00461F80">
        <w:rPr>
          <w:rFonts w:ascii="Times New Roman" w:eastAsia="Calibri" w:hAnsi="Times New Roman" w:cs="Times New Roman"/>
          <w:i/>
          <w:iCs/>
          <w:color w:val="2F5496"/>
        </w:rPr>
        <w:t>non arrecare un danno significativo» a norma del regolamento sul dispositivo per la ripresa e la resilienza</w:t>
      </w:r>
      <w:r w:rsidRPr="00461F80">
        <w:rPr>
          <w:rFonts w:ascii="Times New Roman" w:eastAsia="Calibri" w:hAnsi="Times New Roman" w:cs="Times New Roman"/>
          <w:color w:val="2F5496"/>
        </w:rPr>
        <w:t>);</w:t>
      </w:r>
    </w:p>
    <w:p w14:paraId="6ECA31CC"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circolare MEF RGS n. 32/2021 (</w:t>
      </w:r>
      <w:r w:rsidRPr="00461F80">
        <w:rPr>
          <w:rFonts w:ascii="Times New Roman" w:eastAsia="Calibri" w:hAnsi="Times New Roman" w:cs="Times New Roman"/>
          <w:i/>
          <w:iCs/>
          <w:color w:val="2F5496"/>
        </w:rPr>
        <w:t>Piano Nazionale di Ripresa e Resilienza (PNRR) – Guida operativa per il rispetto del principio di non arrecare danno significativo all’ambiente</w:t>
      </w:r>
      <w:r w:rsidRPr="00461F80">
        <w:rPr>
          <w:rFonts w:ascii="Times New Roman" w:eastAsia="Calibri" w:hAnsi="Times New Roman" w:cs="Times New Roman"/>
          <w:color w:val="2F5496"/>
        </w:rPr>
        <w:t>), cd. DNSH, e come aggiornata dalla circolare MEF-RGS n. 33/2022;</w:t>
      </w:r>
    </w:p>
    <w:p w14:paraId="5DE53EA4"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VISTI i principi trasversali previsti dal PNRR, quali, tra l’altro, il principio del contributo all’obiettivo climatico e digitale (c.d. </w:t>
      </w:r>
      <w:r w:rsidRPr="00461F80">
        <w:rPr>
          <w:rFonts w:ascii="Times New Roman" w:eastAsia="Calibri" w:hAnsi="Times New Roman" w:cs="Times New Roman"/>
          <w:i/>
          <w:iCs/>
          <w:color w:val="2F5496"/>
        </w:rPr>
        <w:t>tagging</w:t>
      </w:r>
      <w:r w:rsidRPr="00461F80">
        <w:rPr>
          <w:rFonts w:ascii="Times New Roman" w:eastAsia="Calibri" w:hAnsi="Times New Roman" w:cs="Times New Roman"/>
          <w:color w:val="2F5496"/>
        </w:rPr>
        <w:t>),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3EA10A32"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47 del D.L. n. 77/2021 conv. con mod. dalla L. n. 108/2021, che dispone di “</w:t>
      </w:r>
      <w:r w:rsidRPr="00461F80">
        <w:rPr>
          <w:rFonts w:ascii="Times New Roman" w:eastAsia="Calibri" w:hAnsi="Times New Roman" w:cs="Times New Roman"/>
          <w:i/>
          <w:iCs/>
          <w:color w:val="2F5496"/>
        </w:rPr>
        <w:t>perseguire le finalità relative alle pari opportunità, generazionali e di genere</w:t>
      </w:r>
      <w:r w:rsidRPr="00461F80">
        <w:rPr>
          <w:rFonts w:ascii="Times New Roman" w:eastAsia="Calibri" w:hAnsi="Times New Roman" w:cs="Times New Roman"/>
          <w:color w:val="2F5496"/>
        </w:rPr>
        <w:t>” e di “</w:t>
      </w:r>
      <w:r w:rsidRPr="00461F80">
        <w:rPr>
          <w:rFonts w:ascii="Times New Roman" w:eastAsia="Calibri" w:hAnsi="Times New Roman" w:cs="Times New Roman"/>
          <w:i/>
          <w:iCs/>
          <w:color w:val="2F5496"/>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461F80">
        <w:rPr>
          <w:rFonts w:ascii="Times New Roman" w:eastAsia="Calibri" w:hAnsi="Times New Roman" w:cs="Times New Roman"/>
          <w:color w:val="2F5496"/>
        </w:rPr>
        <w:t>”;</w:t>
      </w:r>
    </w:p>
    <w:p w14:paraId="4310FA3A"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CONSIDERATO che il medesimo art. 47 al co. 4 stabilisce che tutte le stazioni appaltanti devono “</w:t>
      </w:r>
      <w:r w:rsidRPr="00461F80">
        <w:rPr>
          <w:rFonts w:ascii="Times New Roman" w:eastAsia="Calibri" w:hAnsi="Times New Roman" w:cs="Times New Roman"/>
          <w:i/>
          <w:iCs/>
          <w:color w:val="2F5496"/>
        </w:rPr>
        <w:t>assicurare una quota pari almeno al 30 per cento, delle assunzioni necessarie per l’esecuzione del contratto o per la realizzazione di attività ad esso connesse o strumentali, all’occupazione giovanile e femminile</w:t>
      </w:r>
      <w:r w:rsidRPr="00461F80">
        <w:rPr>
          <w:rFonts w:ascii="Times New Roman" w:eastAsia="Calibri" w:hAnsi="Times New Roman" w:cs="Times New Roman"/>
          <w:color w:val="2F5496"/>
        </w:rPr>
        <w:t>”;</w:t>
      </w:r>
    </w:p>
    <w:p w14:paraId="7D5C69A5"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decreto interministeriale del 07/12/2021 (</w:t>
      </w:r>
      <w:r w:rsidRPr="00461F80">
        <w:rPr>
          <w:rFonts w:ascii="Times New Roman" w:eastAsia="Calibri" w:hAnsi="Times New Roman" w:cs="Times New Roman"/>
          <w:i/>
          <w:iCs/>
          <w:color w:val="2F5496"/>
        </w:rPr>
        <w:t>Adozione delle linee guida volte a favorire le opportunità di genere e generazionali, nonché l’inclusione lavorativa delle persone con disabilità nei contratti pubblici finanziati con le risorse del PNRR e del Piano nazionale complementare (PNC) al PNRR</w:t>
      </w:r>
      <w:r w:rsidRPr="00461F80">
        <w:rPr>
          <w:rFonts w:ascii="Times New Roman" w:eastAsia="Calibri" w:hAnsi="Times New Roman" w:cs="Times New Roman"/>
          <w:color w:val="2F5496"/>
        </w:rPr>
        <w:t xml:space="preserve">); </w:t>
      </w:r>
    </w:p>
    <w:p w14:paraId="5D4DD254" w14:textId="77777777" w:rsidR="00461F80" w:rsidRPr="00AF27F1" w:rsidRDefault="00461F80" w:rsidP="00461F8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AF27F1">
        <w:rPr>
          <w:rFonts w:ascii="Times New Roman" w:eastAsia="Calibri" w:hAnsi="Times New Roman" w:cs="Times New Roman"/>
          <w:color w:val="2F5496" w:themeColor="accent1" w:themeShade="BF"/>
        </w:rPr>
        <w:t>VISTO il D.P.C.M. del 20/06/2023 (</w:t>
      </w:r>
      <w:r w:rsidRPr="00AF27F1">
        <w:rPr>
          <w:rFonts w:ascii="Times New Roman" w:eastAsia="Calibri" w:hAnsi="Times New Roman" w:cs="Times New Roman"/>
          <w:i/>
          <w:color w:val="2F5496" w:themeColor="accent1" w:themeShade="BF"/>
        </w:rPr>
        <w:t>Linee guida volte a favorire le pari opportunità generazionali e di genere, nonché' l'inclusione lavorativa delle persone con disabilità nei contratti riservati</w:t>
      </w:r>
      <w:r w:rsidRPr="00AF27F1">
        <w:rPr>
          <w:rFonts w:ascii="Times New Roman" w:eastAsia="Calibri" w:hAnsi="Times New Roman" w:cs="Times New Roman"/>
          <w:color w:val="2F5496" w:themeColor="accent1" w:themeShade="BF"/>
        </w:rPr>
        <w:t>);</w:t>
      </w:r>
    </w:p>
    <w:p w14:paraId="0D8AD63B"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circolare MEF RGS</w:t>
      </w:r>
      <w:r w:rsidRPr="00461F80" w:rsidDel="000E5376">
        <w:rPr>
          <w:rFonts w:ascii="Times New Roman" w:eastAsia="Calibri" w:hAnsi="Times New Roman" w:cs="Times New Roman"/>
          <w:color w:val="2F5496"/>
        </w:rPr>
        <w:t xml:space="preserve"> </w:t>
      </w:r>
      <w:r w:rsidRPr="00461F80">
        <w:rPr>
          <w:rFonts w:ascii="Times New Roman" w:eastAsia="Calibri" w:hAnsi="Times New Roman" w:cs="Times New Roman"/>
          <w:color w:val="2F5496"/>
        </w:rPr>
        <w:t>n. 27/2022 (</w:t>
      </w:r>
      <w:r w:rsidRPr="00461F80">
        <w:rPr>
          <w:rFonts w:ascii="Times New Roman" w:eastAsia="Calibri" w:hAnsi="Times New Roman" w:cs="Times New Roman"/>
          <w:i/>
          <w:iCs/>
          <w:color w:val="2F5496"/>
        </w:rPr>
        <w:t>Piano Nazionale di Ripresa e Resilienza (PNRR) – Monitoraggio delle misure PNRR</w:t>
      </w:r>
      <w:r w:rsidRPr="00461F80">
        <w:rPr>
          <w:rFonts w:ascii="Times New Roman" w:eastAsia="Calibri" w:hAnsi="Times New Roman" w:cs="Times New Roman"/>
          <w:color w:val="2F5496"/>
        </w:rPr>
        <w:t>);</w:t>
      </w:r>
    </w:p>
    <w:p w14:paraId="224956A0"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circolare MEF RGS</w:t>
      </w:r>
      <w:r w:rsidRPr="00461F80" w:rsidDel="005E7121">
        <w:rPr>
          <w:rFonts w:ascii="Times New Roman" w:eastAsia="Calibri" w:hAnsi="Times New Roman" w:cs="Times New Roman"/>
          <w:color w:val="2F5496"/>
        </w:rPr>
        <w:t xml:space="preserve"> </w:t>
      </w:r>
      <w:r w:rsidRPr="00461F80">
        <w:rPr>
          <w:rFonts w:ascii="Times New Roman" w:eastAsia="Calibri" w:hAnsi="Times New Roman" w:cs="Times New Roman"/>
          <w:color w:val="2F5496"/>
        </w:rPr>
        <w:t>n. 28/2022 (</w:t>
      </w:r>
      <w:r w:rsidRPr="00461F80">
        <w:rPr>
          <w:rFonts w:ascii="Times New Roman" w:eastAsia="Calibri" w:hAnsi="Times New Roman" w:cs="Times New Roman"/>
          <w:i/>
          <w:iCs/>
          <w:color w:val="2F5496"/>
        </w:rPr>
        <w:t xml:space="preserve">Controllo di regolarità amministrativa e contabile dei rendiconti di contabilità ordinaria e di contabilità speciale. Controllo di regolarità </w:t>
      </w:r>
      <w:r w:rsidRPr="00461F80">
        <w:rPr>
          <w:rFonts w:ascii="Times New Roman" w:eastAsia="Calibri" w:hAnsi="Times New Roman" w:cs="Times New Roman"/>
          <w:i/>
          <w:iCs/>
          <w:color w:val="2F5496"/>
        </w:rPr>
        <w:lastRenderedPageBreak/>
        <w:t>amministrativa e contabile sugli atti di gestione delle risorse del PNRR – prime indicazioni operative</w:t>
      </w:r>
      <w:r w:rsidRPr="00461F80">
        <w:rPr>
          <w:rFonts w:ascii="Times New Roman" w:eastAsia="Calibri" w:hAnsi="Times New Roman" w:cs="Times New Roman"/>
          <w:color w:val="2F5496"/>
        </w:rPr>
        <w:t>);</w:t>
      </w:r>
    </w:p>
    <w:p w14:paraId="728CECA6" w14:textId="77777777" w:rsidR="00461F80" w:rsidRPr="00EF6399" w:rsidRDefault="00461F80" w:rsidP="00461F8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F6399">
        <w:rPr>
          <w:rFonts w:ascii="Times New Roman" w:eastAsia="Calibri" w:hAnsi="Times New Roman" w:cs="Times New Roman"/>
          <w:color w:val="2F5496" w:themeColor="accent1" w:themeShade="BF"/>
        </w:rPr>
        <w:t>VISTA la circolare MEF RGS n. 1/2023 (</w:t>
      </w:r>
      <w:r w:rsidRPr="00EF6399">
        <w:rPr>
          <w:rFonts w:ascii="Times New Roman" w:eastAsia="Calibri" w:hAnsi="Times New Roman" w:cs="Times New Roman"/>
          <w:i/>
          <w:color w:val="2F5496" w:themeColor="accent1" w:themeShade="BF"/>
        </w:rPr>
        <w:t>Controllo preventivo di regolarità amministrativa e contabile di cui al decreto legislativo 30 giugno 2011, n. 123. Precisazioni relative anche al controllo degli atti di gestione delle risorse del Piano Nazionale di Ripresa e Resilienza</w:t>
      </w:r>
      <w:r w:rsidRPr="00EF6399">
        <w:rPr>
          <w:rFonts w:ascii="Times New Roman" w:eastAsia="Calibri" w:hAnsi="Times New Roman" w:cs="Times New Roman"/>
          <w:color w:val="2F5496" w:themeColor="accent1" w:themeShade="BF"/>
        </w:rPr>
        <w:t>);</w:t>
      </w:r>
    </w:p>
    <w:p w14:paraId="235F82CF" w14:textId="77777777" w:rsidR="00461F80" w:rsidRPr="00EF6399" w:rsidRDefault="00461F80" w:rsidP="00461F8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F6399">
        <w:rPr>
          <w:rFonts w:ascii="Times New Roman" w:eastAsia="Calibri" w:hAnsi="Times New Roman" w:cs="Times New Roman"/>
          <w:color w:val="2F5496" w:themeColor="accent1" w:themeShade="BF"/>
        </w:rPr>
        <w:t>VISTA la circolare MEF RGS n. 10/2023 (</w:t>
      </w:r>
      <w:r w:rsidRPr="00EF6399">
        <w:rPr>
          <w:rFonts w:ascii="Times New Roman" w:eastAsia="Calibri" w:hAnsi="Times New Roman" w:cs="Times New Roman"/>
          <w:i/>
          <w:color w:val="2F5496" w:themeColor="accent1" w:themeShade="BF"/>
        </w:rPr>
        <w:t>Interventi PNRR. Ulteriori indicazioni operative per il controllo preventivo e il controllo dei rendiconti delle Contabilità Speciali PNRR aperte presso la Tesoreria dello Stato</w:t>
      </w:r>
      <w:r w:rsidRPr="00EF6399">
        <w:rPr>
          <w:rFonts w:ascii="Times New Roman" w:eastAsia="Calibri" w:hAnsi="Times New Roman" w:cs="Times New Roman"/>
          <w:color w:val="2F5496" w:themeColor="accent1" w:themeShade="BF"/>
        </w:rPr>
        <w:t>);</w:t>
      </w:r>
    </w:p>
    <w:p w14:paraId="222A0542" w14:textId="2F1DE2C5"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152/2021, conv. con mod. dalla L. n. 233/2021 (</w:t>
      </w:r>
      <w:r w:rsidRPr="00461F80">
        <w:rPr>
          <w:rFonts w:ascii="Times New Roman" w:eastAsia="Calibri" w:hAnsi="Times New Roman" w:cs="Times New Roman"/>
          <w:i/>
          <w:iCs/>
          <w:color w:val="2F5496"/>
        </w:rPr>
        <w:t>Disposizioni urgenti per l’attuazione del Piano Nazionale di Ripresa e Resilienza (PNRR) e per la prevenzione delle infiltrazioni mafiose</w:t>
      </w:r>
      <w:r w:rsidRPr="00461F80">
        <w:rPr>
          <w:rFonts w:ascii="Times New Roman" w:eastAsia="Calibri" w:hAnsi="Times New Roman" w:cs="Times New Roman"/>
          <w:color w:val="2F5496"/>
        </w:rPr>
        <w:t>);</w:t>
      </w:r>
    </w:p>
    <w:p w14:paraId="41188872" w14:textId="77777777" w:rsidR="00461F80" w:rsidRPr="00461F80" w:rsidRDefault="00461F80" w:rsidP="00461F80">
      <w:pPr>
        <w:numPr>
          <w:ilvl w:val="0"/>
          <w:numId w:val="8"/>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6276FE9B" w14:textId="77777777" w:rsidR="00DE76CE" w:rsidRPr="009F6EB8" w:rsidRDefault="00DE76CE" w:rsidP="00C112AB">
      <w:pPr>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9F6EB8">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9F6EB8">
        <w:rPr>
          <w:rFonts w:ascii="Times New Roman" w:hAnsi="Times New Roman" w:cs="Times New Roman"/>
          <w:color w:val="2F5496" w:themeColor="accent1" w:themeShade="BF"/>
        </w:rPr>
        <w:t>”;</w:t>
      </w:r>
    </w:p>
    <w:p w14:paraId="0A12623E" w14:textId="77777777" w:rsidR="00DE76CE" w:rsidRPr="009F6EB8" w:rsidRDefault="00DE76CE" w:rsidP="00C112AB">
      <w:pPr>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7E4FA781" w14:textId="77777777" w:rsidR="00DE76CE" w:rsidRPr="009F6EB8" w:rsidRDefault="00DE76CE" w:rsidP="00C112AB">
      <w:pPr>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VISTO il decreto SG MiC n. 10 del 20 gennaio 2022, recante il “</w:t>
      </w:r>
      <w:r w:rsidRPr="009F6EB8">
        <w:rPr>
          <w:rFonts w:ascii="Times New Roman" w:hAnsi="Times New Roman" w:cs="Times New Roman"/>
          <w:i/>
          <w:color w:val="2F5496" w:themeColor="accent1" w:themeShade="BF"/>
        </w:rPr>
        <w:t>Modello di Governance per l’attuazione del Piano Nazionale di Recupero e Resilienza e del Piano nazionale per gli investimenti complementari al Piano nazionale di ripresa e resilienza (PNC) a titolarità del Ministero della cultura</w:t>
      </w:r>
      <w:r w:rsidRPr="009F6EB8">
        <w:rPr>
          <w:rFonts w:ascii="Times New Roman" w:hAnsi="Times New Roman" w:cs="Times New Roman"/>
          <w:color w:val="2F5496" w:themeColor="accent1" w:themeShade="BF"/>
        </w:rPr>
        <w:t>” ed in particolare l'art. 2, secondo il quale alla realizzazione dell'intervento 1.2 “</w:t>
      </w:r>
      <w:r w:rsidRPr="009F6EB8">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9F6EB8">
        <w:rPr>
          <w:rFonts w:ascii="Times New Roman" w:hAnsi="Times New Roman" w:cs="Times New Roman"/>
          <w:color w:val="2F5496" w:themeColor="accent1" w:themeShade="BF"/>
        </w:rPr>
        <w:t>” provvede, quale struttura attuatrice, la Direzione generale Musei del Ministero della cultura;</w:t>
      </w:r>
    </w:p>
    <w:p w14:paraId="50DA0EE7" w14:textId="77777777" w:rsidR="00DE76CE" w:rsidRPr="009F6EB8" w:rsidRDefault="00DE76CE" w:rsidP="00DE76CE">
      <w:pPr>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VISTO il D.M. MiC n. 331 del 6 Settembre 2022, recante “Riparto delle risorse PNRR, Missione 1 –Digitalizzazione, innovazione, competitività e cultura, Component 3 –Cultura 4.0 (M1C3), Misura 1 “Patrimonio culturale per la prossima generazione”, Investimento 1.2: “</w:t>
      </w:r>
      <w:r w:rsidRPr="009F6EB8">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9F6EB8">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2"/>
        <w:tblW w:w="0" w:type="auto"/>
        <w:tblInd w:w="567" w:type="dxa"/>
        <w:tblLook w:val="04A0" w:firstRow="1" w:lastRow="0" w:firstColumn="1" w:lastColumn="0" w:noHBand="0" w:noVBand="1"/>
      </w:tblPr>
      <w:tblGrid>
        <w:gridCol w:w="4217"/>
        <w:gridCol w:w="4232"/>
      </w:tblGrid>
      <w:tr w:rsidR="00DE76CE" w:rsidRPr="009F6EB8" w14:paraId="2DE4716B" w14:textId="77777777" w:rsidTr="00C112AB">
        <w:tc>
          <w:tcPr>
            <w:tcW w:w="9062" w:type="dxa"/>
            <w:gridSpan w:val="2"/>
          </w:tcPr>
          <w:p w14:paraId="500D6B91" w14:textId="77777777" w:rsidR="00DE76CE" w:rsidRPr="009F6EB8" w:rsidRDefault="00DE76CE" w:rsidP="00C112AB">
            <w:pPr>
              <w:spacing w:after="80"/>
              <w:jc w:val="both"/>
              <w:rPr>
                <w:rFonts w:ascii="Times New Roman" w:hAnsi="Times New Roman" w:cs="Times New Roman"/>
                <w:b/>
                <w:bCs/>
                <w:color w:val="2F5496" w:themeColor="accent1" w:themeShade="BF"/>
              </w:rPr>
            </w:pPr>
            <w:r w:rsidRPr="009F6EB8">
              <w:rPr>
                <w:rFonts w:ascii="Times New Roman" w:hAnsi="Times New Roman" w:cs="Times New Roman"/>
                <w:b/>
                <w:bCs/>
                <w:color w:val="2F5496" w:themeColor="accent1" w:themeShade="BF"/>
              </w:rPr>
              <w:lastRenderedPageBreak/>
              <w:t>Misura 1 “</w:t>
            </w:r>
            <w:r w:rsidRPr="009F6EB8">
              <w:rPr>
                <w:rFonts w:ascii="Times New Roman" w:hAnsi="Times New Roman" w:cs="Times New Roman"/>
                <w:b/>
                <w:bCs/>
                <w:i/>
                <w:iCs/>
                <w:color w:val="2F5496" w:themeColor="accent1" w:themeShade="BF"/>
              </w:rPr>
              <w:t>Patrimonio culturale per la prossima generazione</w:t>
            </w:r>
            <w:r w:rsidRPr="009F6EB8">
              <w:rPr>
                <w:rFonts w:ascii="Times New Roman" w:hAnsi="Times New Roman" w:cs="Times New Roman"/>
                <w:b/>
                <w:bCs/>
                <w:color w:val="2F5496" w:themeColor="accent1" w:themeShade="BF"/>
              </w:rPr>
              <w:t>”, Investimento 1.2: “</w:t>
            </w:r>
            <w:r w:rsidRPr="009F6EB8">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9F6EB8">
              <w:rPr>
                <w:rFonts w:ascii="Times New Roman" w:hAnsi="Times New Roman" w:cs="Times New Roman"/>
                <w:b/>
                <w:bCs/>
                <w:color w:val="2F5496" w:themeColor="accent1" w:themeShade="BF"/>
              </w:rPr>
              <w:t>”</w:t>
            </w:r>
          </w:p>
        </w:tc>
      </w:tr>
      <w:tr w:rsidR="00DE76CE" w:rsidRPr="009F6EB8" w14:paraId="3F55D780" w14:textId="77777777" w:rsidTr="00C112AB">
        <w:tc>
          <w:tcPr>
            <w:tcW w:w="4531" w:type="dxa"/>
          </w:tcPr>
          <w:p w14:paraId="2FDFE43F" w14:textId="77777777" w:rsidR="00DE76CE" w:rsidRPr="009F6EB8" w:rsidRDefault="00DE76CE" w:rsidP="00C112AB">
            <w:pPr>
              <w:spacing w:after="80"/>
              <w:jc w:val="both"/>
              <w:rPr>
                <w:rFonts w:ascii="Times New Roman" w:hAnsi="Times New Roman" w:cs="Times New Roman"/>
                <w:b/>
                <w:bCs/>
                <w:color w:val="2F5496" w:themeColor="accent1" w:themeShade="BF"/>
              </w:rPr>
            </w:pPr>
            <w:r w:rsidRPr="009F6EB8">
              <w:rPr>
                <w:rFonts w:ascii="Times New Roman" w:hAnsi="Times New Roman" w:cs="Times New Roman"/>
                <w:b/>
                <w:bCs/>
                <w:color w:val="2F5496" w:themeColor="accent1" w:themeShade="BF"/>
              </w:rPr>
              <w:t>Linea d’azione</w:t>
            </w:r>
          </w:p>
        </w:tc>
        <w:tc>
          <w:tcPr>
            <w:tcW w:w="4531" w:type="dxa"/>
          </w:tcPr>
          <w:p w14:paraId="3B441E94" w14:textId="77777777" w:rsidR="00DE76CE" w:rsidRPr="009F6EB8" w:rsidRDefault="00DE76CE" w:rsidP="00C112AB">
            <w:pPr>
              <w:spacing w:after="80"/>
              <w:jc w:val="both"/>
              <w:rPr>
                <w:rFonts w:ascii="Times New Roman" w:hAnsi="Times New Roman" w:cs="Times New Roman"/>
                <w:b/>
                <w:bCs/>
                <w:color w:val="2F5496" w:themeColor="accent1" w:themeShade="BF"/>
              </w:rPr>
            </w:pPr>
            <w:r w:rsidRPr="009F6EB8">
              <w:rPr>
                <w:rFonts w:ascii="Times New Roman" w:hAnsi="Times New Roman" w:cs="Times New Roman"/>
                <w:b/>
                <w:bCs/>
                <w:color w:val="2F5496" w:themeColor="accent1" w:themeShade="BF"/>
              </w:rPr>
              <w:t>Risorse</w:t>
            </w:r>
          </w:p>
        </w:tc>
      </w:tr>
      <w:tr w:rsidR="00DE76CE" w:rsidRPr="009F6EB8" w14:paraId="024C8BD1" w14:textId="77777777" w:rsidTr="00C112AB">
        <w:tc>
          <w:tcPr>
            <w:tcW w:w="4531" w:type="dxa"/>
          </w:tcPr>
          <w:p w14:paraId="5B392B21"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3B3884D4"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€ 127.327.089,41</w:t>
            </w:r>
          </w:p>
        </w:tc>
      </w:tr>
      <w:tr w:rsidR="00DE76CE" w:rsidRPr="009F6EB8" w14:paraId="4CE2D5D2" w14:textId="77777777" w:rsidTr="00C112AB">
        <w:tc>
          <w:tcPr>
            <w:tcW w:w="4531" w:type="dxa"/>
          </w:tcPr>
          <w:p w14:paraId="4D9C7963"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06E9A81B"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€ 120.000.000,00</w:t>
            </w:r>
          </w:p>
        </w:tc>
      </w:tr>
      <w:tr w:rsidR="00DE76CE" w:rsidRPr="009F6EB8" w14:paraId="2F4BEF5D" w14:textId="77777777" w:rsidTr="00C112AB">
        <w:tc>
          <w:tcPr>
            <w:tcW w:w="4531" w:type="dxa"/>
          </w:tcPr>
          <w:p w14:paraId="3531B41A"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4ED728FA"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€ 7.460.000,00</w:t>
            </w:r>
          </w:p>
        </w:tc>
      </w:tr>
      <w:tr w:rsidR="00DE76CE" w:rsidRPr="009F6EB8" w14:paraId="6A8A6C56" w14:textId="77777777" w:rsidTr="00C112AB">
        <w:tc>
          <w:tcPr>
            <w:tcW w:w="4531" w:type="dxa"/>
          </w:tcPr>
          <w:p w14:paraId="0F2A95E2"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Redazione dei P.E.B.A. per i luoghi della cultura pubblici afferenti al MIC</w:t>
            </w:r>
          </w:p>
        </w:tc>
        <w:tc>
          <w:tcPr>
            <w:tcW w:w="4531" w:type="dxa"/>
          </w:tcPr>
          <w:p w14:paraId="6FC4C36F"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€ 3.346.449,59</w:t>
            </w:r>
          </w:p>
        </w:tc>
      </w:tr>
      <w:tr w:rsidR="00DE76CE" w:rsidRPr="009F6EB8" w14:paraId="41E75971" w14:textId="77777777" w:rsidTr="00C112AB">
        <w:tc>
          <w:tcPr>
            <w:tcW w:w="4531" w:type="dxa"/>
          </w:tcPr>
          <w:p w14:paraId="5B6B188D"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Redazione dei P.E.B.A. per i luoghi della cultura pubblici non afferenti al MIC</w:t>
            </w:r>
          </w:p>
        </w:tc>
        <w:tc>
          <w:tcPr>
            <w:tcW w:w="4531" w:type="dxa"/>
          </w:tcPr>
          <w:p w14:paraId="3699B5FC"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€ 3.214.700,00</w:t>
            </w:r>
          </w:p>
        </w:tc>
      </w:tr>
      <w:tr w:rsidR="00DE76CE" w:rsidRPr="009F6EB8" w14:paraId="775BBE26" w14:textId="77777777" w:rsidTr="00C112AB">
        <w:tc>
          <w:tcPr>
            <w:tcW w:w="4531" w:type="dxa"/>
          </w:tcPr>
          <w:p w14:paraId="635F162C"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Realizzazione della piattaforma AD Arte</w:t>
            </w:r>
          </w:p>
        </w:tc>
        <w:tc>
          <w:tcPr>
            <w:tcW w:w="4531" w:type="dxa"/>
          </w:tcPr>
          <w:p w14:paraId="51E272D2"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€ 32.147.000,00</w:t>
            </w:r>
          </w:p>
        </w:tc>
      </w:tr>
      <w:tr w:rsidR="00DE76CE" w:rsidRPr="009F6EB8" w14:paraId="4A340597" w14:textId="77777777" w:rsidTr="00C112AB">
        <w:tc>
          <w:tcPr>
            <w:tcW w:w="4531" w:type="dxa"/>
          </w:tcPr>
          <w:p w14:paraId="159AAC2C"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Formazione degli operatori culturali</w:t>
            </w:r>
          </w:p>
        </w:tc>
        <w:tc>
          <w:tcPr>
            <w:tcW w:w="4531" w:type="dxa"/>
          </w:tcPr>
          <w:p w14:paraId="69CBCAE8" w14:textId="77777777" w:rsidR="00DE76CE" w:rsidRPr="009F6EB8" w:rsidRDefault="00DE76CE" w:rsidP="00C112AB">
            <w:pPr>
              <w:spacing w:after="80"/>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€ 6.504.761,00</w:t>
            </w:r>
          </w:p>
        </w:tc>
      </w:tr>
      <w:tr w:rsidR="00DE76CE" w:rsidRPr="009F6EB8" w14:paraId="67995301" w14:textId="77777777" w:rsidTr="00C112AB">
        <w:tc>
          <w:tcPr>
            <w:tcW w:w="4531" w:type="dxa"/>
          </w:tcPr>
          <w:p w14:paraId="48C74D7E" w14:textId="77777777" w:rsidR="00DE76CE" w:rsidRPr="009F6EB8" w:rsidRDefault="00DE76CE" w:rsidP="00C112AB">
            <w:pPr>
              <w:spacing w:after="80"/>
              <w:jc w:val="both"/>
              <w:rPr>
                <w:rFonts w:ascii="Times New Roman" w:hAnsi="Times New Roman" w:cs="Times New Roman"/>
                <w:b/>
                <w:bCs/>
                <w:color w:val="2F5496" w:themeColor="accent1" w:themeShade="BF"/>
              </w:rPr>
            </w:pPr>
            <w:r w:rsidRPr="009F6EB8">
              <w:rPr>
                <w:rFonts w:ascii="Times New Roman" w:hAnsi="Times New Roman" w:cs="Times New Roman"/>
                <w:b/>
                <w:bCs/>
                <w:color w:val="2F5496" w:themeColor="accent1" w:themeShade="BF"/>
              </w:rPr>
              <w:t>Totale</w:t>
            </w:r>
          </w:p>
        </w:tc>
        <w:tc>
          <w:tcPr>
            <w:tcW w:w="4531" w:type="dxa"/>
          </w:tcPr>
          <w:p w14:paraId="20F4BA3C" w14:textId="77777777" w:rsidR="00DE76CE" w:rsidRPr="009F6EB8" w:rsidRDefault="00DE76CE" w:rsidP="00C112AB">
            <w:pPr>
              <w:spacing w:after="80"/>
              <w:jc w:val="both"/>
              <w:rPr>
                <w:rFonts w:ascii="Times New Roman" w:hAnsi="Times New Roman" w:cs="Times New Roman"/>
                <w:b/>
                <w:bCs/>
                <w:color w:val="2F5496" w:themeColor="accent1" w:themeShade="BF"/>
              </w:rPr>
            </w:pPr>
            <w:r w:rsidRPr="009F6EB8">
              <w:rPr>
                <w:rFonts w:ascii="Times New Roman" w:hAnsi="Times New Roman" w:cs="Times New Roman"/>
                <w:b/>
                <w:bCs/>
                <w:color w:val="2F5496" w:themeColor="accent1" w:themeShade="BF"/>
              </w:rPr>
              <w:t>€ 300.000.000,00</w:t>
            </w:r>
          </w:p>
        </w:tc>
      </w:tr>
    </w:tbl>
    <w:p w14:paraId="3B49AEFC" w14:textId="77777777" w:rsidR="00461F80" w:rsidRPr="00461F80" w:rsidRDefault="00461F80" w:rsidP="00461F80">
      <w:pPr>
        <w:spacing w:after="80" w:line="240" w:lineRule="auto"/>
        <w:jc w:val="both"/>
        <w:rPr>
          <w:rFonts w:ascii="Times New Roman" w:eastAsia="Calibri" w:hAnsi="Times New Roman" w:cs="Times New Roman"/>
          <w:color w:val="2F5496"/>
        </w:rPr>
      </w:pPr>
    </w:p>
    <w:p w14:paraId="33EEAC67" w14:textId="77777777" w:rsidR="00DE76CE" w:rsidRPr="009F6EB8" w:rsidRDefault="00DE76CE" w:rsidP="00DE76CE">
      <w:pPr>
        <w:pStyle w:val="Paragrafoelenco"/>
        <w:spacing w:after="80" w:line="240" w:lineRule="auto"/>
        <w:ind w:left="567" w:hanging="567"/>
        <w:jc w:val="both"/>
        <w:rPr>
          <w:rFonts w:ascii="Times New Roman" w:hAnsi="Times New Roman" w:cs="Times New Roman"/>
          <w:b/>
          <w:i/>
          <w:color w:val="2F5496" w:themeColor="accent1" w:themeShade="BF"/>
        </w:rPr>
      </w:pPr>
      <w:r w:rsidRPr="009F6EB8">
        <w:rPr>
          <w:rFonts w:ascii="Times New Roman" w:hAnsi="Times New Roman" w:cs="Times New Roman"/>
          <w:b/>
          <w:i/>
          <w:color w:val="2F5496" w:themeColor="accent1" w:themeShade="BF"/>
        </w:rPr>
        <w:t>Nel caso di musei e luoghi della cultura pubblici afferenti al MiC</w:t>
      </w:r>
    </w:p>
    <w:p w14:paraId="6658C82D" w14:textId="77777777" w:rsidR="00DE76CE" w:rsidRPr="009F6EB8" w:rsidRDefault="00DE76CE" w:rsidP="00DE76CE">
      <w:pPr>
        <w:pStyle w:val="Paragrafoelenco"/>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CONSIDERATO che per gli interventi relativi alla Linea d’azione 1 - Interventi di rimozione delle barriere fisiche e cognitive presso i luoghi della cultura pubblici afferenti al MIC, e alla linea d’azione 4 - Redazione dei P.E.B.A. per i luoghi della cultura pubblici afferenti al MIC la Direzione generale Musei ha provveduto alla selezione mediante una valutazione dei progetti presentati dagli Istituti autonomi, dalle Direzioni regionali, dagli Archivi e dalle Biblioteche;</w:t>
      </w:r>
    </w:p>
    <w:p w14:paraId="7704619A" w14:textId="77777777" w:rsidR="00DE76CE" w:rsidRPr="009F6EB8" w:rsidRDefault="00DE76CE" w:rsidP="00DE76CE">
      <w:pPr>
        <w:pStyle w:val="Paragrafoelenco"/>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VISTO il decreto SG MiC n. 1155 del 1 dicembre 2022, recante “</w:t>
      </w:r>
      <w:r w:rsidRPr="009F6EB8">
        <w:rPr>
          <w:rFonts w:ascii="Times New Roman" w:hAnsi="Times New Roman" w:cs="Times New Roman"/>
          <w:i/>
          <w:color w:val="2F5496" w:themeColor="accent1" w:themeShade="BF"/>
        </w:rPr>
        <w:t>Assegnazione delle risorse a valere sul PNRR, Missione 1 – Digitalizzazione, innovazione, competitività e cultura, Component 3 – Cultura 4.0 (M1C3), Misura 1 “Patrimonio culturale per la prossima generazione</w:t>
      </w:r>
      <w:r w:rsidRPr="009F6EB8">
        <w:rPr>
          <w:rFonts w:ascii="Times New Roman" w:hAnsi="Times New Roman" w:cs="Times New Roman"/>
          <w:color w:val="2F5496" w:themeColor="accent1" w:themeShade="BF"/>
        </w:rPr>
        <w:t>”, Investimento 1.2: “</w:t>
      </w:r>
      <w:r w:rsidRPr="009F6EB8">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9F6EB8">
        <w:rPr>
          <w:rFonts w:ascii="Times New Roman" w:hAnsi="Times New Roman" w:cs="Times New Roman"/>
          <w:color w:val="2F5496" w:themeColor="accent1" w:themeShade="BF"/>
        </w:rPr>
        <w:t>”, con il quale è stato approvato l’elenco delle proposte ammesse a finanziamento degli interventi individuati dalla Direzione Generali Musei relativo alle Linee d’azione 1 e 4 e sono state assegnate le seguenti risorse:</w:t>
      </w:r>
    </w:p>
    <w:p w14:paraId="7E21496D" w14:textId="77777777" w:rsidR="00DE76CE" w:rsidRPr="009F6EB8" w:rsidRDefault="00DE76CE" w:rsidP="00DE76CE">
      <w:pPr>
        <w:pStyle w:val="Paragrafoelenco"/>
        <w:spacing w:after="80" w:line="240" w:lineRule="auto"/>
        <w:ind w:left="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xml:space="preserve">- Euro 127.327.089,41 destinati al finanziamento di n. 527 interventi di rimozione delle barriere fisiche e cognitive presso i luoghi della cultura pubblici afferenti al MIC, (Linea d’azione 1) individuati dal Ministero della Cultura – Direzione Generale Musei, riportati nelle tabelle allegate al provvedimento (Allegato 1,2,3,4,5); </w:t>
      </w:r>
    </w:p>
    <w:p w14:paraId="5E0ADDCC" w14:textId="77777777" w:rsidR="00DE76CE" w:rsidRDefault="00DE76CE" w:rsidP="00DE76CE">
      <w:pPr>
        <w:pStyle w:val="Paragrafoelenco"/>
        <w:spacing w:after="80" w:line="240" w:lineRule="auto"/>
        <w:ind w:left="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Euro 3.346.449,59 destinati al finanziamento per la redazione dei P.E.B.A. per i luoghi della cultura pubblici afferenti al MIC (Linea d’azione 4), individuati dal Ministero della Cultura – Direzione Generale Musei e riportati nelle tabelle allegate al provvedimento (Allegato 1.2,3,4,5);</w:t>
      </w:r>
    </w:p>
    <w:p w14:paraId="05AEFFEA" w14:textId="77777777" w:rsidR="00A0779F" w:rsidRPr="00EF6399" w:rsidRDefault="00A0779F" w:rsidP="00A0779F">
      <w:pPr>
        <w:numPr>
          <w:ilvl w:val="0"/>
          <w:numId w:val="8"/>
        </w:numPr>
        <w:spacing w:after="80" w:line="240" w:lineRule="auto"/>
        <w:ind w:left="644" w:hanging="644"/>
        <w:jc w:val="both"/>
        <w:rPr>
          <w:rFonts w:ascii="Times New Roman" w:hAnsi="Times New Roman"/>
          <w:color w:val="2F5496" w:themeColor="accent1" w:themeShade="BF"/>
        </w:rPr>
      </w:pPr>
      <w:r w:rsidRPr="00EF6399">
        <w:rPr>
          <w:rFonts w:ascii="Times New Roman" w:hAnsi="Times New Roman"/>
          <w:color w:val="2F5496" w:themeColor="accent1" w:themeShade="BF"/>
        </w:rPr>
        <w:t>VISTO il decreto SG MiC n. 1127 del 12 ottobre 2023, recante “Assegnazione delle risorse a valere sul PNRR, Missione 1 – Digitalizzazione, innovazione, competitività e cultura, Component 3 – Cultura 4.0 (M1C3), Misura 1 “</w:t>
      </w:r>
      <w:r w:rsidRPr="00EF6399">
        <w:rPr>
          <w:rFonts w:ascii="Times New Roman" w:hAnsi="Times New Roman"/>
          <w:i/>
          <w:color w:val="2F5496" w:themeColor="accent1" w:themeShade="BF"/>
        </w:rPr>
        <w:t>Patrimonio culturale per la prossima generazione</w:t>
      </w:r>
      <w:r w:rsidRPr="00EF6399">
        <w:rPr>
          <w:rFonts w:ascii="Times New Roman" w:hAnsi="Times New Roman"/>
          <w:color w:val="2F5496" w:themeColor="accent1" w:themeShade="BF"/>
        </w:rPr>
        <w:t>”, Investimento 1.2: “</w:t>
      </w:r>
      <w:r w:rsidRPr="00EF6399">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EF6399">
        <w:rPr>
          <w:rFonts w:ascii="Times New Roman" w:hAnsi="Times New Roman"/>
          <w:color w:val="2F5496" w:themeColor="accent1" w:themeShade="BF"/>
        </w:rPr>
        <w:t>”. Aggiornamento dell’elenco delle proposte ammesse a finanziamento;</w:t>
      </w:r>
    </w:p>
    <w:p w14:paraId="64C571E3" w14:textId="29DCB842" w:rsidR="00A0779F" w:rsidRPr="00A0779F" w:rsidRDefault="00A0779F" w:rsidP="00A0779F">
      <w:pPr>
        <w:numPr>
          <w:ilvl w:val="0"/>
          <w:numId w:val="8"/>
        </w:numPr>
        <w:spacing w:after="80" w:line="240" w:lineRule="auto"/>
        <w:ind w:left="644" w:hanging="644"/>
        <w:jc w:val="both"/>
        <w:rPr>
          <w:rFonts w:ascii="Times New Roman" w:hAnsi="Times New Roman"/>
          <w:color w:val="2F5496" w:themeColor="accent1" w:themeShade="BF"/>
        </w:rPr>
      </w:pPr>
      <w:r w:rsidRPr="00EF6399">
        <w:rPr>
          <w:rFonts w:ascii="Times New Roman" w:hAnsi="Times New Roman"/>
          <w:color w:val="2F5496" w:themeColor="accent1" w:themeShade="BF"/>
        </w:rPr>
        <w:t xml:space="preserve">VISTO il decreto SG MiC n. 1292 del 21 novembre 2023, recante “Assegnazione delle risorse a valere sul PNRR, Missione 1 – Digitalizzazione, innovazione, competitività e cultura, </w:t>
      </w:r>
      <w:r w:rsidRPr="00EF6399">
        <w:rPr>
          <w:rFonts w:ascii="Times New Roman" w:hAnsi="Times New Roman"/>
          <w:color w:val="2F5496" w:themeColor="accent1" w:themeShade="BF"/>
        </w:rPr>
        <w:lastRenderedPageBreak/>
        <w:t>Component 3 – Turismo e Cultura 4.0 (M1C3), Misura 1 “</w:t>
      </w:r>
      <w:r w:rsidRPr="00EF6399">
        <w:rPr>
          <w:rFonts w:ascii="Times New Roman" w:hAnsi="Times New Roman"/>
          <w:i/>
          <w:color w:val="2F5496" w:themeColor="accent1" w:themeShade="BF"/>
        </w:rPr>
        <w:t>Patrimonio culturale per la prossima generazione</w:t>
      </w:r>
      <w:r w:rsidRPr="00EF6399">
        <w:rPr>
          <w:rFonts w:ascii="Times New Roman" w:hAnsi="Times New Roman"/>
          <w:color w:val="2F5496" w:themeColor="accent1" w:themeShade="BF"/>
        </w:rPr>
        <w:t>”, Investimento 1.2: “</w:t>
      </w:r>
      <w:r w:rsidRPr="00EF6399">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EF6399">
        <w:rPr>
          <w:rFonts w:ascii="Times New Roman" w:hAnsi="Times New Roman"/>
          <w:color w:val="2F5496" w:themeColor="accent1" w:themeShade="BF"/>
        </w:rPr>
        <w:t>. Aggiornamento dell’elenco delle proposte ammesse a finanziamento.”, con il quale è stato approvato l’aggiornamento dell’elenco delle proposte ammesse a finanziamento degli interventi individuati dalla Direzione Generali Musei relativo alle Linee d’azione 1 e 4;</w:t>
      </w:r>
    </w:p>
    <w:p w14:paraId="61EBB70B" w14:textId="564A8F20" w:rsidR="00DE76CE" w:rsidRDefault="00DE76CE" w:rsidP="00DE76CE">
      <w:pPr>
        <w:pStyle w:val="Paragrafoelenco"/>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CONSIDERATO che con il decreto SG MiC n. 1155 del 1</w:t>
      </w:r>
      <w:r w:rsidR="00A0779F">
        <w:rPr>
          <w:rFonts w:ascii="Times New Roman" w:hAnsi="Times New Roman" w:cs="Times New Roman"/>
          <w:color w:val="2F5496" w:themeColor="accent1" w:themeShade="BF"/>
        </w:rPr>
        <w:t>°</w:t>
      </w:r>
      <w:r w:rsidRPr="009F6EB8">
        <w:rPr>
          <w:rFonts w:ascii="Times New Roman" w:hAnsi="Times New Roman" w:cs="Times New Roman"/>
          <w:color w:val="2F5496" w:themeColor="accent1" w:themeShade="BF"/>
        </w:rPr>
        <w:t xml:space="preserve"> dicembre 2022 è stata assegnata a ______________ </w:t>
      </w:r>
      <w:r w:rsidRPr="009F6EB8">
        <w:rPr>
          <w:rFonts w:ascii="Times New Roman" w:hAnsi="Times New Roman" w:cs="Times New Roman"/>
          <w:b/>
          <w:color w:val="2F5496" w:themeColor="accent1" w:themeShade="BF"/>
        </w:rPr>
        <w:t>[inserire e specificare soggetto]</w:t>
      </w:r>
      <w:r w:rsidRPr="009F6EB8">
        <w:rPr>
          <w:rFonts w:ascii="Times New Roman" w:hAnsi="Times New Roman" w:cs="Times New Roman"/>
          <w:color w:val="2F5496" w:themeColor="accent1" w:themeShade="BF"/>
        </w:rPr>
        <w:t xml:space="preserve">, in qualità di Soggetto Attuatore la somma di _______ </w:t>
      </w:r>
      <w:r w:rsidRPr="009F6EB8">
        <w:rPr>
          <w:rFonts w:ascii="Times New Roman" w:hAnsi="Times New Roman" w:cs="Times New Roman"/>
          <w:b/>
          <w:color w:val="2F5496" w:themeColor="accent1" w:themeShade="BF"/>
        </w:rPr>
        <w:t>[inserire]</w:t>
      </w:r>
      <w:r w:rsidRPr="009F6EB8">
        <w:rPr>
          <w:rFonts w:ascii="Times New Roman" w:hAnsi="Times New Roman" w:cs="Times New Roman"/>
          <w:color w:val="2F5496" w:themeColor="accent1" w:themeShade="BF"/>
        </w:rPr>
        <w:t xml:space="preserve"> per il Progetto presentato titolato “__” </w:t>
      </w:r>
      <w:r w:rsidRPr="009F6EB8">
        <w:rPr>
          <w:rFonts w:ascii="Times New Roman" w:hAnsi="Times New Roman" w:cs="Times New Roman"/>
          <w:b/>
          <w:color w:val="2F5496" w:themeColor="accent1" w:themeShade="BF"/>
        </w:rPr>
        <w:t>[inserire]</w:t>
      </w:r>
      <w:r w:rsidRPr="009F6EB8">
        <w:rPr>
          <w:rFonts w:ascii="Times New Roman" w:hAnsi="Times New Roman" w:cs="Times New Roman"/>
          <w:color w:val="2F5496" w:themeColor="accent1" w:themeShade="BF"/>
        </w:rPr>
        <w:t xml:space="preserve"> – CUP __ </w:t>
      </w:r>
      <w:r w:rsidRPr="009F6EB8">
        <w:rPr>
          <w:rFonts w:ascii="Times New Roman" w:hAnsi="Times New Roman" w:cs="Times New Roman"/>
          <w:b/>
          <w:color w:val="2F5496" w:themeColor="accent1" w:themeShade="BF"/>
        </w:rPr>
        <w:t>[inserire]</w:t>
      </w:r>
      <w:r w:rsidRPr="009F6EB8">
        <w:rPr>
          <w:rFonts w:ascii="Times New Roman" w:hAnsi="Times New Roman" w:cs="Times New Roman"/>
          <w:color w:val="2F5496" w:themeColor="accent1" w:themeShade="BF"/>
        </w:rPr>
        <w:t xml:space="preserve">; </w:t>
      </w:r>
    </w:p>
    <w:p w14:paraId="72D894AC" w14:textId="77777777" w:rsidR="00875B5C" w:rsidRPr="00EF6399" w:rsidRDefault="00A0779F" w:rsidP="00875B5C">
      <w:pPr>
        <w:spacing w:after="80" w:line="240" w:lineRule="auto"/>
        <w:ind w:left="644"/>
        <w:jc w:val="both"/>
        <w:rPr>
          <w:rFonts w:ascii="Times New Roman" w:hAnsi="Times New Roman"/>
          <w:color w:val="2F5496" w:themeColor="accent1" w:themeShade="BF"/>
        </w:rPr>
      </w:pPr>
      <w:r w:rsidRPr="00EF6399">
        <w:rPr>
          <w:rFonts w:ascii="Times New Roman" w:hAnsi="Times New Roman"/>
          <w:color w:val="2F5496" w:themeColor="accent1" w:themeShade="BF"/>
        </w:rPr>
        <w:t>[</w:t>
      </w:r>
      <w:r w:rsidRPr="00EF6399">
        <w:rPr>
          <w:rFonts w:ascii="Times New Roman" w:hAnsi="Times New Roman"/>
          <w:i/>
          <w:color w:val="2F5496" w:themeColor="accent1" w:themeShade="BF"/>
        </w:rPr>
        <w:t>in alternativa</w:t>
      </w:r>
      <w:r w:rsidRPr="00EF6399">
        <w:rPr>
          <w:rFonts w:ascii="Times New Roman" w:hAnsi="Times New Roman"/>
          <w:color w:val="2F5496" w:themeColor="accent1" w:themeShade="BF"/>
        </w:rPr>
        <w:t>]</w:t>
      </w:r>
    </w:p>
    <w:p w14:paraId="3CD08E44" w14:textId="67EFBAA7" w:rsidR="00A0779F" w:rsidRPr="00EF6399" w:rsidRDefault="00A0779F" w:rsidP="00875B5C">
      <w:pPr>
        <w:spacing w:after="80" w:line="240" w:lineRule="auto"/>
        <w:ind w:left="644"/>
        <w:jc w:val="both"/>
        <w:rPr>
          <w:rFonts w:ascii="Times New Roman" w:hAnsi="Times New Roman"/>
          <w:color w:val="2F5496" w:themeColor="accent1" w:themeShade="BF"/>
        </w:rPr>
      </w:pPr>
      <w:r w:rsidRPr="00EF6399">
        <w:rPr>
          <w:rFonts w:ascii="Times New Roman" w:hAnsi="Times New Roman"/>
          <w:color w:val="2F5496" w:themeColor="accent1" w:themeShade="BF"/>
        </w:rPr>
        <w:t>CONSIDERATO che con il decreto SG MiC n. 1292 del 21 novembre 2023 è stata assegnata a ______________ [inserire e specificare soggetto], in qualità di Soggetto Attuatore la somma di _______ [inserire] per il Progetto presentato titolato “__” [inserire] – CUP __ [inserire];</w:t>
      </w:r>
    </w:p>
    <w:p w14:paraId="2ADA1C54" w14:textId="77777777" w:rsidR="00DE76CE" w:rsidRDefault="00DE76CE" w:rsidP="00DE76CE">
      <w:pPr>
        <w:pStyle w:val="Paragrafoelenco"/>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 xml:space="preserve">VISTO il disciplinare d’obblighi rep. n. __ del __ </w:t>
      </w:r>
      <w:r w:rsidRPr="009F6EB8">
        <w:rPr>
          <w:rFonts w:ascii="Times New Roman" w:hAnsi="Times New Roman" w:cs="Times New Roman"/>
          <w:b/>
          <w:color w:val="2F5496" w:themeColor="accent1" w:themeShade="BF"/>
        </w:rPr>
        <w:t>[inserire e specificare atto]</w:t>
      </w:r>
      <w:r w:rsidRPr="009F6EB8">
        <w:rPr>
          <w:rFonts w:ascii="Times New Roman" w:hAnsi="Times New Roman" w:cs="Times New Roman"/>
          <w:color w:val="2F5496" w:themeColor="accent1" w:themeShade="BF"/>
        </w:rPr>
        <w:t xml:space="preserve"> sottoscritto con il MiC regolante i rapporti per la realizzazione del Progetto presentato titolato “__” </w:t>
      </w:r>
      <w:r w:rsidRPr="009F6EB8">
        <w:rPr>
          <w:rFonts w:ascii="Times New Roman" w:hAnsi="Times New Roman" w:cs="Times New Roman"/>
          <w:b/>
          <w:color w:val="2F5496" w:themeColor="accent1" w:themeShade="BF"/>
        </w:rPr>
        <w:t>[inserire]</w:t>
      </w:r>
      <w:r w:rsidRPr="009F6EB8">
        <w:rPr>
          <w:rFonts w:ascii="Times New Roman" w:hAnsi="Times New Roman" w:cs="Times New Roman"/>
          <w:color w:val="2F5496" w:themeColor="accent1" w:themeShade="BF"/>
        </w:rPr>
        <w:t xml:space="preserve"> – CUP __ </w:t>
      </w:r>
      <w:r w:rsidRPr="009F6EB8">
        <w:rPr>
          <w:rFonts w:ascii="Times New Roman" w:hAnsi="Times New Roman" w:cs="Times New Roman"/>
          <w:b/>
          <w:color w:val="2F5496" w:themeColor="accent1" w:themeShade="BF"/>
        </w:rPr>
        <w:t>[inserire]</w:t>
      </w:r>
      <w:r w:rsidRPr="009F6EB8">
        <w:rPr>
          <w:rFonts w:ascii="Times New Roman" w:hAnsi="Times New Roman" w:cs="Times New Roman"/>
          <w:color w:val="2F5496" w:themeColor="accent1" w:themeShade="BF"/>
        </w:rPr>
        <w:t>;</w:t>
      </w:r>
    </w:p>
    <w:p w14:paraId="0ABF57BD"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VISTO il decreto ministeriale 21 febbraio 2018, n. 113, recante “</w:t>
      </w:r>
      <w:r w:rsidRPr="00EF6399">
        <w:rPr>
          <w:rFonts w:ascii="Times New Roman" w:hAnsi="Times New Roman"/>
          <w:i/>
        </w:rPr>
        <w:t>Adozione dei livelli uniformi di qualità per i musei e luoghi della cultura di appartenenza pubblica e di attivazione del sistema museale nazionale</w:t>
      </w:r>
      <w:r w:rsidRPr="00EF6399">
        <w:rPr>
          <w:rFonts w:ascii="Times New Roman" w:hAnsi="Times New Roman"/>
        </w:rPr>
        <w:t xml:space="preserve">”; </w:t>
      </w:r>
    </w:p>
    <w:p w14:paraId="6995AB53"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VISTO l’articolo 24 “</w:t>
      </w:r>
      <w:r w:rsidRPr="00EF6399">
        <w:rPr>
          <w:rFonts w:ascii="Times New Roman" w:hAnsi="Times New Roman"/>
          <w:i/>
        </w:rPr>
        <w:t>Eliminazione o superamento delle barriere architettoniche” della legge 5 febbraio 1992, n. 104, recante “Legge-quadro per l'assistenza, l'integrazione sociale e i diritti delle persone handicappate</w:t>
      </w:r>
      <w:r w:rsidRPr="00EF6399">
        <w:rPr>
          <w:rFonts w:ascii="Times New Roman" w:hAnsi="Times New Roman"/>
        </w:rPr>
        <w:t xml:space="preserve">”; </w:t>
      </w:r>
    </w:p>
    <w:p w14:paraId="2DDA7BCD"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VISTO il decreto del Presidente della Repubblica 24 luglio 1996, n. 503, e ss.mm.ii., recante “</w:t>
      </w:r>
      <w:r w:rsidRPr="00EF6399">
        <w:rPr>
          <w:rFonts w:ascii="Times New Roman" w:hAnsi="Times New Roman"/>
          <w:i/>
        </w:rPr>
        <w:t>Regolamento recante norme per l'eliminazione delle barriere architettoniche negli edifici, spazi e servizi pubblici</w:t>
      </w:r>
      <w:r w:rsidRPr="00EF6399">
        <w:rPr>
          <w:rFonts w:ascii="Times New Roman" w:hAnsi="Times New Roman"/>
        </w:rPr>
        <w:t xml:space="preserve">”; </w:t>
      </w:r>
    </w:p>
    <w:p w14:paraId="31CC297C"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VISTO il decreto ministeriale 28 marzo 2008, recante “</w:t>
      </w:r>
      <w:r w:rsidRPr="00EF6399">
        <w:rPr>
          <w:rFonts w:ascii="Times New Roman" w:hAnsi="Times New Roman"/>
          <w:i/>
        </w:rPr>
        <w:t>Linee guida per il superamento delle barriere architettoniche nei luoghi di interesse culturale</w:t>
      </w:r>
      <w:r w:rsidRPr="00EF6399">
        <w:rPr>
          <w:rFonts w:ascii="Times New Roman" w:hAnsi="Times New Roman"/>
        </w:rPr>
        <w:t>”;</w:t>
      </w:r>
    </w:p>
    <w:p w14:paraId="006054DD"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VISTA la circolare della Direzione generale Musei n. 80 del 1° dicembre 2016, recante “</w:t>
      </w:r>
      <w:r w:rsidRPr="00EF6399">
        <w:rPr>
          <w:rFonts w:ascii="Times New Roman" w:hAnsi="Times New Roman"/>
          <w:i/>
        </w:rPr>
        <w:t>Raccomandazioni in merito all’accessibilità a musei monumenti, aree e parchi archeologici</w:t>
      </w:r>
      <w:r w:rsidRPr="00EF6399">
        <w:rPr>
          <w:rFonts w:ascii="Times New Roman" w:hAnsi="Times New Roman"/>
        </w:rPr>
        <w:t>”;</w:t>
      </w:r>
    </w:p>
    <w:p w14:paraId="0AA45B76"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VISTA la circolare della Direzione generale Musei n. 26 del 25 luglio 2018, recante “</w:t>
      </w:r>
      <w:r w:rsidRPr="00EF6399">
        <w:rPr>
          <w:rFonts w:ascii="Times New Roman" w:hAnsi="Times New Roman"/>
          <w:i/>
        </w:rPr>
        <w:t>Linee guida per la redazione del piano di eliminazione delle barriere architettoniche nei musei, complessi monumentali, aree e parchi archeologici</w:t>
      </w:r>
      <w:r w:rsidRPr="00EF6399">
        <w:rPr>
          <w:rFonts w:ascii="Times New Roman" w:hAnsi="Times New Roman"/>
        </w:rPr>
        <w:t xml:space="preserve">”; </w:t>
      </w:r>
    </w:p>
    <w:p w14:paraId="5E5561AF" w14:textId="77777777"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VISTA la Direttiva (UE) n. 2019/882 del 17 aprile 2019 sui requisiti di accessibilità dei prodotti e dei servizi;</w:t>
      </w:r>
    </w:p>
    <w:p w14:paraId="08E9C1E0" w14:textId="700CDD41" w:rsidR="00A0779F" w:rsidRPr="00EF6399" w:rsidRDefault="00A0779F" w:rsidP="00A0779F">
      <w:pPr>
        <w:numPr>
          <w:ilvl w:val="0"/>
          <w:numId w:val="8"/>
        </w:numPr>
        <w:spacing w:after="80" w:line="240" w:lineRule="auto"/>
        <w:ind w:left="644" w:hanging="644"/>
        <w:jc w:val="both"/>
        <w:rPr>
          <w:rFonts w:ascii="Times New Roman" w:hAnsi="Times New Roman"/>
        </w:rPr>
      </w:pPr>
      <w:r w:rsidRPr="00EF6399">
        <w:rPr>
          <w:rFonts w:ascii="Times New Roman" w:hAnsi="Times New Roman"/>
        </w:rPr>
        <w:t>VISTA la legge 1° ottobre 2020, n. 133, “</w:t>
      </w:r>
      <w:r w:rsidRPr="00EF6399">
        <w:rPr>
          <w:rFonts w:ascii="Times New Roman" w:hAnsi="Times New Roman"/>
          <w:i/>
        </w:rPr>
        <w:t>Ratifica ed esecuzione della Convenzione quadro del Consiglio del Consiglio d’Europa sul valore del patrimonio culturale per la società, fatta a Faro il 27 ottobre 2005</w:t>
      </w:r>
      <w:r w:rsidRPr="00EF6399">
        <w:rPr>
          <w:rFonts w:ascii="Times New Roman" w:hAnsi="Times New Roman"/>
        </w:rPr>
        <w:t>”;</w:t>
      </w:r>
    </w:p>
    <w:p w14:paraId="0C7D9B9C" w14:textId="77777777" w:rsidR="00DE76CE" w:rsidRPr="009F6EB8" w:rsidRDefault="00DE76CE" w:rsidP="00DE76CE">
      <w:pPr>
        <w:pStyle w:val="Paragrafoelenco"/>
        <w:numPr>
          <w:ilvl w:val="0"/>
          <w:numId w:val="8"/>
        </w:numPr>
        <w:spacing w:after="80" w:line="240" w:lineRule="auto"/>
        <w:ind w:left="567" w:hanging="567"/>
        <w:jc w:val="both"/>
        <w:rPr>
          <w:rFonts w:ascii="Times New Roman" w:hAnsi="Times New Roman" w:cs="Times New Roman"/>
          <w:color w:val="2F5496" w:themeColor="accent1" w:themeShade="BF"/>
        </w:rPr>
      </w:pPr>
      <w:r w:rsidRPr="009F6EB8">
        <w:rPr>
          <w:rFonts w:ascii="Times New Roman" w:hAnsi="Times New Roman" w:cs="Times New Roman"/>
          <w:color w:val="2F5496" w:themeColor="accent1" w:themeShade="BF"/>
        </w:rPr>
        <w:t>CONSIDERATO che all’investimento 1.2: “</w:t>
      </w:r>
      <w:r w:rsidRPr="009F6EB8">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9F6EB8">
        <w:rPr>
          <w:rFonts w:ascii="Times New Roman" w:hAnsi="Times New Roman" w:cs="Times New Roman"/>
          <w:color w:val="2F5496" w:themeColor="accent1" w:themeShade="BF"/>
        </w:rPr>
        <w:t xml:space="preserve">” sono collegati i seguenti target /milestone </w:t>
      </w:r>
      <w:r w:rsidRPr="009F6EB8">
        <w:rPr>
          <w:rFonts w:ascii="Times New Roman" w:hAnsi="Times New Roman" w:cs="Times New Roman"/>
          <w:b/>
          <w:color w:val="2F5496" w:themeColor="accent1" w:themeShade="BF"/>
        </w:rPr>
        <w:t>[inserire]</w:t>
      </w:r>
      <w:r w:rsidRPr="009F6EB8">
        <w:rPr>
          <w:rFonts w:ascii="Times New Roman" w:hAnsi="Times New Roman" w:cs="Times New Roman"/>
          <w:color w:val="2F5496" w:themeColor="accent1" w:themeShade="BF"/>
        </w:rPr>
        <w:t xml:space="preserve">; </w:t>
      </w:r>
    </w:p>
    <w:p w14:paraId="10B258F5" w14:textId="0FEEE6F4" w:rsidR="005E13A0" w:rsidRPr="005E13A0" w:rsidRDefault="005E13A0" w:rsidP="005E13A0">
      <w:pPr>
        <w:pStyle w:val="Paragrafoelenco"/>
        <w:numPr>
          <w:ilvl w:val="0"/>
          <w:numId w:val="8"/>
        </w:numPr>
        <w:spacing w:after="80" w:line="240" w:lineRule="auto"/>
        <w:ind w:left="567" w:hanging="567"/>
        <w:jc w:val="both"/>
        <w:rPr>
          <w:rFonts w:ascii="Times New Roman" w:eastAsia="Calibri" w:hAnsi="Times New Roman" w:cs="Times New Roman"/>
          <w:strike/>
          <w:color w:val="FF0000"/>
        </w:rPr>
      </w:pPr>
      <w:r w:rsidRPr="00C72707">
        <w:rPr>
          <w:rFonts w:ascii="Times New Roman" w:eastAsia="Calibri" w:hAnsi="Times New Roman" w:cs="Times New Roman"/>
        </w:rPr>
        <w:t xml:space="preserve">RILEVATA </w:t>
      </w:r>
      <w:r w:rsidRPr="00C72707">
        <w:rPr>
          <w:rFonts w:ascii="Times New Roman" w:hAnsi="Times New Roman" w:cs="Times New Roman"/>
        </w:rPr>
        <w:t>la necessità, per quanto sopra esposto, di procedere all’affidamento di [</w:t>
      </w:r>
      <w:r w:rsidRPr="00C72707">
        <w:rPr>
          <w:rFonts w:ascii="Times New Roman" w:hAnsi="Times New Roman" w:cs="Times New Roman"/>
          <w:i/>
          <w:iCs/>
        </w:rPr>
        <w:t>specificare oggetto della procedura</w:t>
      </w:r>
      <w:r w:rsidRPr="00C72707">
        <w:rPr>
          <w:rFonts w:ascii="Times New Roman" w:hAnsi="Times New Roman" w:cs="Times New Roman"/>
        </w:rPr>
        <w:t>] relativo alla realizzazione dell’intervento [</w:t>
      </w:r>
      <w:r w:rsidRPr="00C72707">
        <w:rPr>
          <w:rFonts w:ascii="Times New Roman" w:hAnsi="Times New Roman" w:cs="Times New Roman"/>
          <w:b/>
          <w:bCs/>
          <w:i/>
          <w:iCs/>
        </w:rPr>
        <w:t>inserire</w:t>
      </w:r>
      <w:r w:rsidRPr="00C72707">
        <w:rPr>
          <w:rFonts w:ascii="Times New Roman" w:hAnsi="Times New Roman" w:cs="Times New Roman"/>
          <w:i/>
          <w:iCs/>
        </w:rPr>
        <w:t xml:space="preserve"> denominazione</w:t>
      </w:r>
      <w:r w:rsidRPr="00C72707">
        <w:rPr>
          <w:rFonts w:ascii="Times New Roman" w:hAnsi="Times New Roman" w:cs="Times New Roman"/>
        </w:rPr>
        <w:t xml:space="preserve">] </w:t>
      </w:r>
      <w:r w:rsidRPr="00C72707">
        <w:rPr>
          <w:rFonts w:ascii="Times New Roman" w:hAnsi="Times New Roman" w:cs="Times New Roman"/>
          <w:bCs/>
          <w:color w:val="2F5496" w:themeColor="accent1" w:themeShade="BF"/>
        </w:rPr>
        <w:t xml:space="preserve">nell’ambito dell’investimento </w:t>
      </w:r>
      <w:r w:rsidR="00DE76CE">
        <w:rPr>
          <w:rFonts w:ascii="Times New Roman" w:hAnsi="Times New Roman" w:cs="Times New Roman"/>
          <w:bCs/>
          <w:color w:val="2F5496" w:themeColor="accent1" w:themeShade="BF"/>
        </w:rPr>
        <w:t>1.2</w:t>
      </w:r>
      <w:r w:rsidRPr="00C72707">
        <w:rPr>
          <w:rFonts w:ascii="Times New Roman" w:hAnsi="Times New Roman" w:cs="Times New Roman"/>
          <w:bCs/>
          <w:color w:val="2F5496" w:themeColor="accent1" w:themeShade="BF"/>
        </w:rPr>
        <w:t xml:space="preserve"> </w:t>
      </w:r>
      <w:r w:rsidR="00DE76CE">
        <w:rPr>
          <w:rFonts w:ascii="Times New Roman" w:hAnsi="Times New Roman" w:cs="Times New Roman"/>
          <w:bCs/>
          <w:color w:val="2F5496" w:themeColor="accent1" w:themeShade="BF"/>
        </w:rPr>
        <w:t>Rimozione delle barriere fisiche e cognitive in musei, biblioteche e archivi per consentire un più ampio accesso e partecipazione alla cultura</w:t>
      </w:r>
      <w:r w:rsidRPr="00C72707">
        <w:rPr>
          <w:rFonts w:ascii="Times New Roman" w:hAnsi="Times New Roman" w:cs="Times New Roman"/>
          <w:bCs/>
          <w:color w:val="2F5496" w:themeColor="accent1" w:themeShade="BF"/>
        </w:rPr>
        <w:t xml:space="preserve"> (M1C3) finanziato dall’Unione europea – NextGenerationEU, CIG_____CUP_____</w:t>
      </w:r>
      <w:r w:rsidRPr="00C72707">
        <w:rPr>
          <w:rFonts w:ascii="Times New Roman" w:hAnsi="Times New Roman" w:cs="Times New Roman"/>
          <w:b/>
          <w:color w:val="2F5496" w:themeColor="accent1" w:themeShade="BF"/>
        </w:rPr>
        <w:t>,</w:t>
      </w:r>
      <w:r w:rsidRPr="00C72707">
        <w:rPr>
          <w:rFonts w:ascii="Times New Roman" w:hAnsi="Times New Roman" w:cs="Times New Roman"/>
          <w:color w:val="2F5496" w:themeColor="accent1" w:themeShade="BF"/>
        </w:rPr>
        <w:t xml:space="preserve"> </w:t>
      </w:r>
      <w:r w:rsidRPr="00C72707">
        <w:rPr>
          <w:rFonts w:ascii="Times New Roman" w:hAnsi="Times New Roman" w:cs="Times New Roman"/>
        </w:rPr>
        <w:t>da realizzarsi mediante procedura [</w:t>
      </w:r>
      <w:r w:rsidRPr="00C72707">
        <w:rPr>
          <w:rFonts w:ascii="Times New Roman" w:hAnsi="Times New Roman" w:cs="Times New Roman"/>
          <w:b/>
          <w:bCs/>
          <w:i/>
          <w:iCs/>
        </w:rPr>
        <w:t xml:space="preserve">inserire </w:t>
      </w:r>
      <w:r w:rsidRPr="00C72707">
        <w:rPr>
          <w:rFonts w:ascii="Times New Roman" w:hAnsi="Times New Roman" w:cs="Times New Roman"/>
          <w:i/>
          <w:iCs/>
        </w:rPr>
        <w:t>descrizione procedura</w:t>
      </w:r>
      <w:r w:rsidRPr="00C72707">
        <w:rPr>
          <w:rFonts w:ascii="Times New Roman" w:hAnsi="Times New Roman" w:cs="Times New Roman"/>
        </w:rPr>
        <w:t>];</w:t>
      </w:r>
    </w:p>
    <w:p w14:paraId="12E1507F" w14:textId="1F47631F" w:rsidR="005E13A0" w:rsidRPr="00FF3BBA" w:rsidRDefault="005E13A0" w:rsidP="005E13A0">
      <w:pPr>
        <w:pStyle w:val="Paragrafoelenco"/>
        <w:numPr>
          <w:ilvl w:val="0"/>
          <w:numId w:val="8"/>
        </w:numPr>
        <w:spacing w:after="80" w:line="240" w:lineRule="auto"/>
        <w:ind w:left="567" w:hanging="567"/>
        <w:jc w:val="both"/>
        <w:rPr>
          <w:rFonts w:ascii="Times New Roman" w:eastAsia="Calibri" w:hAnsi="Times New Roman" w:cs="Times New Roman"/>
          <w:strike/>
          <w:color w:val="FF0000"/>
        </w:rPr>
      </w:pPr>
      <w:r w:rsidRPr="00FF3BBA">
        <w:rPr>
          <w:rFonts w:ascii="Times New Roman" w:eastAsia="Calibri" w:hAnsi="Times New Roman" w:cs="Times New Roman"/>
        </w:rPr>
        <w:t xml:space="preserve">TENUTO CONTO della determina a contrarre n. </w:t>
      </w:r>
      <w:r w:rsidRPr="00FF3BBA">
        <w:rPr>
          <w:rFonts w:ascii="Times New Roman" w:hAnsi="Times New Roman" w:cs="Times New Roman"/>
          <w:color w:val="000000" w:themeColor="text1"/>
        </w:rPr>
        <w:t xml:space="preserve">__ </w:t>
      </w:r>
      <w:r w:rsidRPr="00FF3BBA">
        <w:rPr>
          <w:rFonts w:ascii="Times New Roman" w:eastAsia="Calibri" w:hAnsi="Times New Roman" w:cs="Times New Roman"/>
          <w:color w:val="000000" w:themeColor="text1"/>
        </w:rPr>
        <w:t>del</w:t>
      </w:r>
      <w:r w:rsidRPr="00FF3BBA">
        <w:rPr>
          <w:rFonts w:ascii="Times New Roman" w:eastAsia="Calibri" w:hAnsi="Times New Roman" w:cs="Times New Roman"/>
        </w:rPr>
        <w:t xml:space="preserve"> </w:t>
      </w:r>
      <w:r w:rsidRPr="00FF3BBA">
        <w:rPr>
          <w:rFonts w:ascii="Times New Roman" w:hAnsi="Times New Roman" w:cs="Times New Roman"/>
          <w:color w:val="000000" w:themeColor="text1"/>
        </w:rPr>
        <w:t>__</w:t>
      </w:r>
      <w:r>
        <w:rPr>
          <w:rFonts w:ascii="Times New Roman" w:hAnsi="Times New Roman" w:cs="Times New Roman"/>
          <w:color w:val="000000" w:themeColor="text1"/>
        </w:rPr>
        <w:t xml:space="preserve">_____________ </w:t>
      </w:r>
      <w:r w:rsidRPr="00BE53F7">
        <w:rPr>
          <w:rFonts w:ascii="Times New Roman" w:hAnsi="Times New Roman" w:cs="Times New Roman"/>
          <w:color w:val="000000" w:themeColor="text1"/>
        </w:rPr>
        <w:t>[</w:t>
      </w:r>
      <w:r w:rsidRPr="00BE53F7">
        <w:rPr>
          <w:rFonts w:ascii="Times New Roman" w:hAnsi="Times New Roman" w:cs="Times New Roman"/>
          <w:b/>
          <w:i/>
          <w:color w:val="000000" w:themeColor="text1"/>
        </w:rPr>
        <w:t>inserire</w:t>
      </w:r>
      <w:r w:rsidRPr="00BE53F7">
        <w:rPr>
          <w:rFonts w:ascii="Times New Roman" w:hAnsi="Times New Roman" w:cs="Times New Roman"/>
          <w:color w:val="000000" w:themeColor="text1"/>
        </w:rPr>
        <w:t>]</w:t>
      </w:r>
      <w:r w:rsidRPr="00FF3BBA">
        <w:rPr>
          <w:rFonts w:ascii="Times New Roman" w:hAnsi="Times New Roman" w:cs="Times New Roman"/>
          <w:color w:val="000000" w:themeColor="text1"/>
        </w:rPr>
        <w:t>;</w:t>
      </w:r>
    </w:p>
    <w:p w14:paraId="5ACDFFFD" w14:textId="7171B052" w:rsidR="00FF3BBA" w:rsidRPr="00FF3BBA" w:rsidRDefault="0038678D" w:rsidP="00CC719D">
      <w:pPr>
        <w:pStyle w:val="Paragrafoelenco"/>
        <w:numPr>
          <w:ilvl w:val="0"/>
          <w:numId w:val="8"/>
        </w:numPr>
        <w:spacing w:after="80" w:line="240" w:lineRule="auto"/>
        <w:ind w:left="567" w:hanging="567"/>
        <w:jc w:val="both"/>
        <w:rPr>
          <w:rFonts w:ascii="Times New Roman" w:eastAsia="Calibri" w:hAnsi="Times New Roman" w:cs="Times New Roman"/>
          <w:strike/>
          <w:color w:val="FF0000"/>
        </w:rPr>
      </w:pPr>
      <w:r w:rsidRPr="00FF3BBA">
        <w:rPr>
          <w:rFonts w:ascii="Times New Roman" w:eastAsia="Calibri" w:hAnsi="Times New Roman" w:cs="Times New Roman"/>
        </w:rPr>
        <w:lastRenderedPageBreak/>
        <w:t xml:space="preserve">CONSIDERATA </w:t>
      </w:r>
      <w:r w:rsidR="00442231" w:rsidRPr="00FF3BBA">
        <w:rPr>
          <w:rFonts w:ascii="Times New Roman" w:eastAsia="Calibri" w:hAnsi="Times New Roman" w:cs="Times New Roman"/>
        </w:rPr>
        <w:t xml:space="preserve">la nomina, con determina </w:t>
      </w:r>
      <w:r w:rsidR="00A321AA" w:rsidRPr="00FF3BBA">
        <w:rPr>
          <w:rFonts w:ascii="Times New Roman" w:eastAsia="Calibri" w:hAnsi="Times New Roman" w:cs="Times New Roman"/>
        </w:rPr>
        <w:t xml:space="preserve">del </w:t>
      </w:r>
      <w:r w:rsidR="00A321AA" w:rsidRPr="00FF3BBA">
        <w:rPr>
          <w:rFonts w:ascii="Times New Roman" w:hAnsi="Times New Roman" w:cs="Times New Roman"/>
          <w:color w:val="000000" w:themeColor="text1"/>
        </w:rPr>
        <w:t>__</w:t>
      </w:r>
      <w:r w:rsidR="00442231" w:rsidRPr="00FF3BBA">
        <w:rPr>
          <w:rFonts w:ascii="Times New Roman" w:eastAsia="Calibri" w:hAnsi="Times New Roman" w:cs="Times New Roman"/>
        </w:rPr>
        <w:t>, prot. n</w:t>
      </w:r>
      <w:r w:rsidR="00A321AA" w:rsidRPr="00FF3BBA">
        <w:rPr>
          <w:rFonts w:ascii="Times New Roman" w:eastAsia="Calibri" w:hAnsi="Times New Roman" w:cs="Times New Roman"/>
        </w:rPr>
        <w:t xml:space="preserve">. </w:t>
      </w:r>
      <w:r w:rsidR="00A321AA" w:rsidRPr="00FF3BBA">
        <w:rPr>
          <w:rFonts w:ascii="Times New Roman" w:hAnsi="Times New Roman" w:cs="Times New Roman"/>
          <w:color w:val="000000" w:themeColor="text1"/>
        </w:rPr>
        <w:t>__,</w:t>
      </w:r>
      <w:r w:rsidR="00A321AA" w:rsidRPr="00FF3BBA">
        <w:rPr>
          <w:rFonts w:ascii="Times New Roman" w:eastAsia="Calibri" w:hAnsi="Times New Roman" w:cs="Times New Roman"/>
        </w:rPr>
        <w:t xml:space="preserve"> del</w:t>
      </w:r>
      <w:r w:rsidR="00442231" w:rsidRPr="00FF3BBA">
        <w:rPr>
          <w:rFonts w:ascii="Times New Roman" w:eastAsia="Calibri" w:hAnsi="Times New Roman" w:cs="Times New Roman"/>
        </w:rPr>
        <w:t xml:space="preserve"> </w:t>
      </w:r>
      <w:r w:rsidR="00A321AA" w:rsidRPr="00FF3BBA">
        <w:rPr>
          <w:rFonts w:ascii="Times New Roman" w:hAnsi="Times New Roman" w:cs="Times New Roman"/>
          <w:color w:val="000000" w:themeColor="text1"/>
        </w:rPr>
        <w:t xml:space="preserve">__ </w:t>
      </w:r>
      <w:r w:rsidR="00A321AA" w:rsidRPr="00FF3BBA">
        <w:rPr>
          <w:rFonts w:ascii="Times New Roman" w:eastAsia="Calibri" w:hAnsi="Times New Roman" w:cs="Times New Roman"/>
          <w:color w:val="000000" w:themeColor="text1"/>
        </w:rPr>
        <w:t>quale</w:t>
      </w:r>
      <w:r w:rsidR="00442231" w:rsidRPr="00FF3BBA">
        <w:rPr>
          <w:rFonts w:ascii="Times New Roman" w:eastAsia="Calibri" w:hAnsi="Times New Roman" w:cs="Times New Roman"/>
        </w:rPr>
        <w:t xml:space="preserve"> Responsabile Unico del </w:t>
      </w:r>
      <w:r w:rsidR="00825AAB" w:rsidRPr="00FF3BBA">
        <w:rPr>
          <w:rFonts w:ascii="Times New Roman" w:eastAsia="Calibri" w:hAnsi="Times New Roman" w:cs="Times New Roman"/>
        </w:rPr>
        <w:t xml:space="preserve">Progetto </w:t>
      </w:r>
      <w:r w:rsidR="00442231" w:rsidRPr="00FF3BBA">
        <w:rPr>
          <w:rFonts w:ascii="Times New Roman" w:eastAsia="Calibri" w:hAnsi="Times New Roman" w:cs="Times New Roman"/>
        </w:rPr>
        <w:t>(di seguito, “</w:t>
      </w:r>
      <w:r w:rsidR="00442231" w:rsidRPr="00FF3BBA">
        <w:rPr>
          <w:rFonts w:ascii="Times New Roman" w:eastAsia="Calibri" w:hAnsi="Times New Roman" w:cs="Times New Roman"/>
          <w:i/>
          <w:iCs/>
        </w:rPr>
        <w:t>R.U.P</w:t>
      </w:r>
      <w:r w:rsidR="00442231" w:rsidRPr="00FF3BBA">
        <w:rPr>
          <w:rFonts w:ascii="Times New Roman" w:eastAsia="Calibri" w:hAnsi="Times New Roman" w:cs="Times New Roman"/>
        </w:rPr>
        <w:t>.”)</w:t>
      </w:r>
      <w:r w:rsidR="009160CB" w:rsidRPr="00FF3BBA">
        <w:rPr>
          <w:rFonts w:ascii="Times New Roman" w:eastAsia="Calibri" w:hAnsi="Times New Roman" w:cs="Times New Roman"/>
        </w:rPr>
        <w:t xml:space="preserve"> e </w:t>
      </w:r>
      <w:r w:rsidR="009160CB" w:rsidRPr="00FF3BBA">
        <w:rPr>
          <w:rFonts w:ascii="Times New Roman" w:hAnsi="Times New Roman" w:cs="Times New Roman"/>
          <w:color w:val="000000" w:themeColor="text1"/>
        </w:rPr>
        <w:t>[</w:t>
      </w:r>
      <w:r w:rsidR="009160CB" w:rsidRPr="00FF3BBA">
        <w:rPr>
          <w:rFonts w:ascii="Times New Roman" w:hAnsi="Times New Roman" w:cs="Times New Roman"/>
          <w:i/>
          <w:color w:val="000000" w:themeColor="text1"/>
        </w:rPr>
        <w:t>se previsto</w:t>
      </w:r>
      <w:r w:rsidR="009160CB" w:rsidRPr="00FF3BBA">
        <w:rPr>
          <w:rFonts w:ascii="Times New Roman" w:hAnsi="Times New Roman" w:cs="Times New Roman"/>
          <w:color w:val="000000" w:themeColor="text1"/>
        </w:rPr>
        <w:t xml:space="preserve">] </w:t>
      </w:r>
      <w:r w:rsidR="009160CB" w:rsidRPr="00FF3BBA">
        <w:rPr>
          <w:rFonts w:ascii="Times New Roman" w:eastAsia="Calibri" w:hAnsi="Times New Roman" w:cs="Times New Roman"/>
        </w:rPr>
        <w:t xml:space="preserve">la nomina, con determina del </w:t>
      </w:r>
      <w:r w:rsidR="009160CB" w:rsidRPr="00FF3BBA">
        <w:rPr>
          <w:rFonts w:ascii="Times New Roman" w:hAnsi="Times New Roman" w:cs="Times New Roman"/>
          <w:color w:val="000000" w:themeColor="text1"/>
        </w:rPr>
        <w:t>__</w:t>
      </w:r>
      <w:r w:rsidR="009160CB" w:rsidRPr="00FF3BBA">
        <w:rPr>
          <w:rFonts w:ascii="Times New Roman" w:eastAsia="Calibri" w:hAnsi="Times New Roman" w:cs="Times New Roman"/>
        </w:rPr>
        <w:t xml:space="preserve">, prot. n. </w:t>
      </w:r>
      <w:r w:rsidR="009160CB" w:rsidRPr="00FF3BBA">
        <w:rPr>
          <w:rFonts w:ascii="Times New Roman" w:hAnsi="Times New Roman" w:cs="Times New Roman"/>
          <w:color w:val="000000" w:themeColor="text1"/>
        </w:rPr>
        <w:t>__,</w:t>
      </w:r>
      <w:r w:rsidR="009160CB" w:rsidRPr="00FF3BBA">
        <w:rPr>
          <w:rFonts w:ascii="Times New Roman" w:eastAsia="Calibri" w:hAnsi="Times New Roman" w:cs="Times New Roman"/>
        </w:rPr>
        <w:t xml:space="preserve"> del </w:t>
      </w:r>
      <w:r w:rsidR="009160CB" w:rsidRPr="00FF3BBA">
        <w:rPr>
          <w:rFonts w:ascii="Times New Roman" w:hAnsi="Times New Roman" w:cs="Times New Roman"/>
          <w:color w:val="000000" w:themeColor="text1"/>
        </w:rPr>
        <w:t xml:space="preserve">__ </w:t>
      </w:r>
      <w:r w:rsidR="009160CB" w:rsidRPr="00FF3BBA">
        <w:rPr>
          <w:rFonts w:ascii="Times New Roman" w:eastAsia="Calibri" w:hAnsi="Times New Roman" w:cs="Times New Roman"/>
          <w:color w:val="000000" w:themeColor="text1"/>
        </w:rPr>
        <w:t xml:space="preserve">quale </w:t>
      </w:r>
      <w:r w:rsidR="009160CB" w:rsidRPr="00FF3BBA">
        <w:rPr>
          <w:rFonts w:ascii="Times New Roman" w:hAnsi="Times New Roman" w:cs="Times New Roman"/>
          <w:color w:val="000000" w:themeColor="text1"/>
        </w:rPr>
        <w:t>Responsabile del procedimento per la fase di _____</w:t>
      </w:r>
      <w:r w:rsidR="00BE53F7">
        <w:rPr>
          <w:rFonts w:ascii="Times New Roman" w:hAnsi="Times New Roman" w:cs="Times New Roman"/>
          <w:color w:val="000000" w:themeColor="text1"/>
        </w:rPr>
        <w:t xml:space="preserve"> </w:t>
      </w:r>
      <w:r w:rsidR="00BE53F7" w:rsidRPr="00BE53F7">
        <w:rPr>
          <w:rFonts w:ascii="Times New Roman" w:hAnsi="Times New Roman" w:cs="Times New Roman"/>
          <w:color w:val="000000" w:themeColor="text1"/>
        </w:rPr>
        <w:t>[</w:t>
      </w:r>
      <w:r w:rsidR="00BE53F7" w:rsidRPr="00BE53F7">
        <w:rPr>
          <w:rFonts w:ascii="Times New Roman" w:hAnsi="Times New Roman" w:cs="Times New Roman"/>
          <w:b/>
          <w:i/>
          <w:color w:val="000000" w:themeColor="text1"/>
        </w:rPr>
        <w:t>inserire</w:t>
      </w:r>
      <w:r w:rsidR="00BE53F7" w:rsidRPr="00BE53F7">
        <w:rPr>
          <w:rFonts w:ascii="Times New Roman" w:hAnsi="Times New Roman" w:cs="Times New Roman"/>
          <w:color w:val="000000" w:themeColor="text1"/>
        </w:rPr>
        <w:t>]</w:t>
      </w:r>
      <w:r w:rsidR="00BE53F7">
        <w:rPr>
          <w:rFonts w:ascii="Times New Roman" w:hAnsi="Times New Roman" w:cs="Times New Roman"/>
          <w:color w:val="000000" w:themeColor="text1"/>
        </w:rPr>
        <w:t>;</w:t>
      </w:r>
    </w:p>
    <w:p w14:paraId="47FBE882" w14:textId="3D96B878" w:rsidR="00442231" w:rsidRPr="005E13A0" w:rsidRDefault="0038678D" w:rsidP="00CC719D">
      <w:pPr>
        <w:pStyle w:val="Paragrafoelenco"/>
        <w:numPr>
          <w:ilvl w:val="0"/>
          <w:numId w:val="8"/>
        </w:numPr>
        <w:spacing w:after="80" w:line="240" w:lineRule="auto"/>
        <w:ind w:left="567" w:hanging="567"/>
        <w:jc w:val="both"/>
        <w:rPr>
          <w:rFonts w:ascii="Times New Roman" w:eastAsia="Calibri" w:hAnsi="Times New Roman" w:cs="Times New Roman"/>
          <w:strike/>
          <w:color w:val="FF0000"/>
        </w:rPr>
      </w:pPr>
      <w:r w:rsidRPr="00FF3BBA">
        <w:rPr>
          <w:rFonts w:ascii="Times New Roman" w:eastAsia="Calibri" w:hAnsi="Times New Roman" w:cs="Times New Roman"/>
        </w:rPr>
        <w:t xml:space="preserve">CONSIDERATA </w:t>
      </w:r>
      <w:r w:rsidR="00442231" w:rsidRPr="00FF3BBA">
        <w:rPr>
          <w:rFonts w:ascii="Times New Roman" w:eastAsia="Calibri" w:hAnsi="Times New Roman" w:cs="Times New Roman"/>
        </w:rPr>
        <w:t xml:space="preserve">la </w:t>
      </w:r>
      <w:r w:rsidR="0085147C" w:rsidRPr="00FF3BBA">
        <w:rPr>
          <w:rFonts w:ascii="Times New Roman" w:eastAsia="Calibri" w:hAnsi="Times New Roman" w:cs="Times New Roman"/>
        </w:rPr>
        <w:t xml:space="preserve">richiesta del R.U.P. alla stazione appaltante di nomina della commissione giudicatrice nel caso di affidamento con il criterio dell’offerta economicamente più vantaggiosa </w:t>
      </w:r>
      <w:r w:rsidR="00A321AA" w:rsidRPr="00FF3BBA">
        <w:rPr>
          <w:rFonts w:ascii="Times New Roman" w:eastAsia="Calibri" w:hAnsi="Times New Roman" w:cs="Times New Roman"/>
        </w:rPr>
        <w:t xml:space="preserve">del </w:t>
      </w:r>
      <w:r w:rsidR="00A321AA" w:rsidRPr="00FF3BBA">
        <w:rPr>
          <w:rFonts w:ascii="Times New Roman" w:hAnsi="Times New Roman" w:cs="Times New Roman"/>
          <w:color w:val="000000" w:themeColor="text1"/>
        </w:rPr>
        <w:t>__,</w:t>
      </w:r>
      <w:r w:rsidR="00442231" w:rsidRPr="00FF3BBA">
        <w:rPr>
          <w:rFonts w:ascii="Times New Roman" w:eastAsia="Calibri" w:hAnsi="Times New Roman" w:cs="Times New Roman"/>
        </w:rPr>
        <w:t xml:space="preserve"> prot</w:t>
      </w:r>
      <w:r w:rsidR="00A321AA" w:rsidRPr="00FF3BBA">
        <w:rPr>
          <w:rFonts w:ascii="Times New Roman" w:eastAsia="Calibri" w:hAnsi="Times New Roman" w:cs="Times New Roman"/>
        </w:rPr>
        <w:t>.</w:t>
      </w:r>
      <w:r w:rsidR="00442231" w:rsidRPr="00FF3BBA">
        <w:rPr>
          <w:rFonts w:ascii="Times New Roman" w:eastAsia="Calibri" w:hAnsi="Times New Roman" w:cs="Times New Roman"/>
        </w:rPr>
        <w:t xml:space="preserve"> n.</w:t>
      </w:r>
      <w:r w:rsidR="00732BED" w:rsidRPr="00FF3BBA">
        <w:rPr>
          <w:rFonts w:ascii="Times New Roman" w:eastAsia="Calibri" w:hAnsi="Times New Roman" w:cs="Times New Roman"/>
        </w:rPr>
        <w:t xml:space="preserve"> </w:t>
      </w:r>
      <w:r w:rsidR="00A321AA" w:rsidRPr="00FF3BBA">
        <w:rPr>
          <w:rFonts w:ascii="Times New Roman" w:hAnsi="Times New Roman" w:cs="Times New Roman"/>
          <w:color w:val="000000" w:themeColor="text1"/>
        </w:rPr>
        <w:t>__</w:t>
      </w:r>
      <w:r w:rsidR="00BE53F7">
        <w:rPr>
          <w:rFonts w:ascii="Times New Roman" w:hAnsi="Times New Roman" w:cs="Times New Roman"/>
          <w:color w:val="000000" w:themeColor="text1"/>
        </w:rPr>
        <w:t>_______________</w:t>
      </w:r>
      <w:r w:rsidR="0085147C" w:rsidRPr="00FF3BBA">
        <w:rPr>
          <w:rFonts w:ascii="Times New Roman" w:hAnsi="Times New Roman" w:cs="Times New Roman"/>
          <w:color w:val="000000" w:themeColor="text1"/>
        </w:rPr>
        <w:t xml:space="preserve"> [</w:t>
      </w:r>
      <w:r w:rsidR="0085147C" w:rsidRPr="00FF3BBA">
        <w:rPr>
          <w:rFonts w:ascii="Times New Roman" w:hAnsi="Times New Roman" w:cs="Times New Roman"/>
          <w:b/>
          <w:i/>
          <w:iCs/>
        </w:rPr>
        <w:t xml:space="preserve">N.B. </w:t>
      </w:r>
      <w:r w:rsidR="0085147C" w:rsidRPr="00FF3BBA">
        <w:rPr>
          <w:rFonts w:ascii="Times New Roman" w:hAnsi="Times New Roman" w:cs="Times New Roman"/>
          <w:i/>
          <w:iCs/>
        </w:rPr>
        <w:t xml:space="preserve">L’art. 93 co. 7 del Codice dei </w:t>
      </w:r>
      <w:r w:rsidR="00BE53F7">
        <w:rPr>
          <w:rFonts w:ascii="Times New Roman" w:hAnsi="Times New Roman" w:cs="Times New Roman"/>
          <w:i/>
          <w:iCs/>
        </w:rPr>
        <w:t>c</w:t>
      </w:r>
      <w:r w:rsidR="0085147C" w:rsidRPr="00FF3BBA">
        <w:rPr>
          <w:rFonts w:ascii="Times New Roman" w:hAnsi="Times New Roman" w:cs="Times New Roman"/>
          <w:i/>
          <w:iCs/>
        </w:rPr>
        <w:t>ontratti</w:t>
      </w:r>
      <w:r w:rsidR="00CC719D">
        <w:rPr>
          <w:rFonts w:ascii="Times New Roman" w:hAnsi="Times New Roman" w:cs="Times New Roman"/>
          <w:i/>
          <w:iCs/>
        </w:rPr>
        <w:t xml:space="preserve"> pubblici</w:t>
      </w:r>
      <w:r w:rsidR="0085147C" w:rsidRPr="00FF3BBA">
        <w:rPr>
          <w:rFonts w:ascii="Times New Roman" w:hAnsi="Times New Roman" w:cs="Times New Roman"/>
          <w:i/>
          <w:iCs/>
        </w:rPr>
        <w:t xml:space="preserve"> prevede che “Nelle procedure di aggiudicazione di contratti di appalto con il criterio del </w:t>
      </w:r>
      <w:r w:rsidR="0085147C" w:rsidRPr="00FF3BBA">
        <w:rPr>
          <w:rFonts w:ascii="Times New Roman" w:hAnsi="Times New Roman" w:cs="Times New Roman"/>
          <w:b/>
          <w:i/>
          <w:iCs/>
        </w:rPr>
        <w:t>minor prezzo o costo</w:t>
      </w:r>
      <w:r w:rsidR="0085147C" w:rsidRPr="00FF3BBA">
        <w:rPr>
          <w:rFonts w:ascii="Times New Roman" w:hAnsi="Times New Roman" w:cs="Times New Roman"/>
          <w:i/>
          <w:iCs/>
        </w:rPr>
        <w:t xml:space="preserve">, la valutazione delle offerte è effettuata da un </w:t>
      </w:r>
      <w:r w:rsidR="0085147C" w:rsidRPr="00FF3BBA">
        <w:rPr>
          <w:rFonts w:ascii="Times New Roman" w:hAnsi="Times New Roman" w:cs="Times New Roman"/>
          <w:b/>
          <w:i/>
          <w:iCs/>
        </w:rPr>
        <w:t>seggio di gara</w:t>
      </w:r>
      <w:r w:rsidR="0085147C" w:rsidRPr="00FF3BBA">
        <w:rPr>
          <w:rFonts w:ascii="Times New Roman" w:hAnsi="Times New Roman" w:cs="Times New Roman"/>
          <w:i/>
          <w:iCs/>
        </w:rPr>
        <w:t xml:space="preserve">, anche monocratico, composto da personale della stazione appaltante, scelto secondo criteri di trasparenza e competenza, al quale si applicano le cause di incompatibilità di cui alle lettere b) e c) del comma 5”. </w:t>
      </w:r>
      <w:r w:rsidR="0085147C" w:rsidRPr="00FF3BBA">
        <w:rPr>
          <w:rFonts w:ascii="Times New Roman" w:hAnsi="Times New Roman" w:cs="Times New Roman"/>
          <w:i/>
          <w:color w:val="000000" w:themeColor="text1"/>
        </w:rPr>
        <w:t>Ai sensi dell’art 7 co. lett. f dell’allegato I.2 “quando il criterio di aggiudicazione è quello del minor prezzo, il RUP può procedere direttamente alla valutazione delle offerte economiche”</w:t>
      </w:r>
      <w:r w:rsidR="0085147C" w:rsidRPr="00FF3BBA">
        <w:rPr>
          <w:rFonts w:ascii="Times New Roman" w:hAnsi="Times New Roman" w:cs="Times New Roman"/>
          <w:color w:val="000000" w:themeColor="text1"/>
        </w:rPr>
        <w:t>]</w:t>
      </w:r>
      <w:r w:rsidR="00A321AA" w:rsidRPr="00FF3BBA">
        <w:rPr>
          <w:rFonts w:ascii="Times New Roman" w:hAnsi="Times New Roman" w:cs="Times New Roman"/>
          <w:color w:val="000000" w:themeColor="text1"/>
        </w:rPr>
        <w:t>;</w:t>
      </w:r>
    </w:p>
    <w:p w14:paraId="6E324A9A" w14:textId="77777777" w:rsidR="002B1470" w:rsidRDefault="005E13A0" w:rsidP="002B1470">
      <w:pPr>
        <w:numPr>
          <w:ilvl w:val="0"/>
          <w:numId w:val="8"/>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il D. Lgs. n. 42/2004 e s.m.i. (</w:t>
      </w:r>
      <w:r w:rsidRPr="00A33B4A">
        <w:rPr>
          <w:rFonts w:ascii="Times New Roman" w:hAnsi="Times New Roman"/>
          <w:i/>
          <w:iCs/>
        </w:rPr>
        <w:t>Codice dei beni culturali e del Paesaggio</w:t>
      </w:r>
      <w:r w:rsidRPr="00A33B4A">
        <w:rPr>
          <w:rFonts w:ascii="Times New Roman" w:hAnsi="Times New Roman"/>
        </w:rPr>
        <w:t>);</w:t>
      </w:r>
    </w:p>
    <w:p w14:paraId="3BD3B158" w14:textId="784AF1FC" w:rsidR="002B1470" w:rsidRPr="002B1470" w:rsidRDefault="002B1470" w:rsidP="002B1470">
      <w:pPr>
        <w:numPr>
          <w:ilvl w:val="0"/>
          <w:numId w:val="8"/>
        </w:numPr>
        <w:spacing w:after="80" w:line="240" w:lineRule="auto"/>
        <w:ind w:left="567" w:hanging="567"/>
        <w:jc w:val="both"/>
        <w:rPr>
          <w:rFonts w:ascii="Times New Roman" w:hAnsi="Times New Roman"/>
        </w:rPr>
      </w:pPr>
      <w:r w:rsidRPr="002B1470">
        <w:rPr>
          <w:rFonts w:ascii="Times New Roman" w:eastAsia="Calibri" w:hAnsi="Times New Roman" w:cs="Times New Roman"/>
        </w:rPr>
        <w:t xml:space="preserve">VISTA la L. n. 241/1990 e s.m.i.; </w:t>
      </w:r>
    </w:p>
    <w:p w14:paraId="3AD5C6DC" w14:textId="610793BF" w:rsidR="005E13A0" w:rsidRDefault="005E13A0" w:rsidP="005E13A0">
      <w:pPr>
        <w:pStyle w:val="Paragrafoelenco"/>
        <w:numPr>
          <w:ilvl w:val="0"/>
          <w:numId w:val="8"/>
        </w:numPr>
        <w:spacing w:after="80" w:line="240" w:lineRule="auto"/>
        <w:ind w:left="567" w:hanging="567"/>
        <w:contextualSpacing w:val="0"/>
        <w:jc w:val="both"/>
        <w:rPr>
          <w:rFonts w:ascii="Times New Roman" w:hAnsi="Times New Roman" w:cs="Times New Roman"/>
        </w:rPr>
      </w:pPr>
      <w:r w:rsidRPr="00C72707">
        <w:rPr>
          <w:rFonts w:ascii="Times New Roman" w:eastAsia="Calibri" w:hAnsi="Times New Roman" w:cs="Times New Roman"/>
          <w:color w:val="000000" w:themeColor="text1"/>
        </w:rPr>
        <w:t xml:space="preserve">VISTO </w:t>
      </w:r>
      <w:r w:rsidRPr="00C72707">
        <w:rPr>
          <w:rFonts w:ascii="Times New Roman" w:hAnsi="Times New Roman" w:cs="Times New Roman"/>
        </w:rPr>
        <w:t>il D. Lgs. n. 36/2023 (</w:t>
      </w:r>
      <w:r w:rsidRPr="00C72707">
        <w:rPr>
          <w:rFonts w:ascii="Times New Roman" w:hAnsi="Times New Roman" w:cs="Times New Roman"/>
          <w:i/>
          <w:iCs/>
        </w:rPr>
        <w:t xml:space="preserve">Codice dei </w:t>
      </w:r>
      <w:r>
        <w:rPr>
          <w:rFonts w:ascii="Times New Roman" w:hAnsi="Times New Roman" w:cs="Times New Roman"/>
          <w:i/>
          <w:iCs/>
        </w:rPr>
        <w:t>c</w:t>
      </w:r>
      <w:r w:rsidRPr="00C72707">
        <w:rPr>
          <w:rFonts w:ascii="Times New Roman" w:hAnsi="Times New Roman" w:cs="Times New Roman"/>
          <w:i/>
          <w:iCs/>
        </w:rPr>
        <w:t>ontratti</w:t>
      </w:r>
      <w:r>
        <w:rPr>
          <w:rFonts w:ascii="Times New Roman" w:hAnsi="Times New Roman" w:cs="Times New Roman"/>
          <w:i/>
          <w:iCs/>
        </w:rPr>
        <w:t xml:space="preserve"> pubblici</w:t>
      </w:r>
      <w:r w:rsidRPr="00C72707">
        <w:rPr>
          <w:rFonts w:ascii="Times New Roman" w:hAnsi="Times New Roman" w:cs="Times New Roman"/>
        </w:rPr>
        <w:t>);</w:t>
      </w:r>
    </w:p>
    <w:p w14:paraId="363AAFF4" w14:textId="77777777" w:rsidR="005E13A0" w:rsidRPr="00EF6399" w:rsidRDefault="005E13A0" w:rsidP="005E13A0">
      <w:pPr>
        <w:numPr>
          <w:ilvl w:val="0"/>
          <w:numId w:val="8"/>
        </w:numPr>
        <w:spacing w:after="80" w:line="240" w:lineRule="auto"/>
        <w:ind w:left="567" w:hanging="567"/>
        <w:jc w:val="both"/>
        <w:rPr>
          <w:rFonts w:ascii="Times New Roman" w:hAnsi="Times New Roman"/>
          <w:iCs/>
        </w:rPr>
      </w:pPr>
      <w:r w:rsidRPr="00EF6399">
        <w:rPr>
          <w:rFonts w:ascii="Times New Roman" w:hAnsi="Times New Roman"/>
        </w:rPr>
        <w:t xml:space="preserve">VISTI i principi </w:t>
      </w:r>
      <w:r w:rsidRPr="00EF6399">
        <w:rPr>
          <w:rFonts w:ascii="Times New Roman" w:hAnsi="Times New Roman"/>
          <w:iCs/>
        </w:rPr>
        <w:t>di cui al Libro I, Parti I e II del Codice dei contratti pubblici;</w:t>
      </w:r>
    </w:p>
    <w:p w14:paraId="047CE8CE" w14:textId="4E037EB8" w:rsidR="005E13A0" w:rsidRPr="00EF6399" w:rsidRDefault="005E13A0" w:rsidP="005E13A0">
      <w:pPr>
        <w:pStyle w:val="Paragrafoelenco"/>
        <w:numPr>
          <w:ilvl w:val="0"/>
          <w:numId w:val="8"/>
        </w:numPr>
        <w:spacing w:after="80" w:line="240" w:lineRule="auto"/>
        <w:ind w:left="567" w:hanging="567"/>
        <w:contextualSpacing w:val="0"/>
        <w:jc w:val="both"/>
        <w:rPr>
          <w:rFonts w:ascii="Times New Roman" w:hAnsi="Times New Roman" w:cs="Times New Roman"/>
        </w:rPr>
      </w:pPr>
      <w:r w:rsidRPr="00EF6399">
        <w:rPr>
          <w:rFonts w:ascii="Times New Roman" w:hAnsi="Times New Roman" w:cs="Times New Roman"/>
        </w:rPr>
        <w:t>VISTO il Libro II, Parte I del Codice dei contratti pubblici (“</w:t>
      </w:r>
      <w:r w:rsidRPr="00EF6399">
        <w:rPr>
          <w:rFonts w:ascii="Times New Roman" w:hAnsi="Times New Roman" w:cs="Times New Roman"/>
          <w:i/>
          <w:iCs/>
        </w:rPr>
        <w:t>Dei contratti di importo inferiore alle soglie europee”</w:t>
      </w:r>
      <w:r w:rsidRPr="00EF6399">
        <w:rPr>
          <w:rFonts w:ascii="Times New Roman" w:hAnsi="Times New Roman" w:cs="Times New Roman"/>
        </w:rPr>
        <w:t>);</w:t>
      </w:r>
    </w:p>
    <w:p w14:paraId="46FBCD0D" w14:textId="77777777" w:rsidR="005E13A0" w:rsidRDefault="005E13A0" w:rsidP="005E13A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CONSIDERATO il Libro II, Parte VII, Titolo III del Codice dei </w:t>
      </w:r>
      <w:r>
        <w:rPr>
          <w:rFonts w:ascii="Times New Roman" w:eastAsia="Calibri" w:hAnsi="Times New Roman" w:cs="Times New Roman"/>
        </w:rPr>
        <w:t>c</w:t>
      </w:r>
      <w:r w:rsidRPr="00C72707">
        <w:rPr>
          <w:rFonts w:ascii="Times New Roman" w:eastAsia="Calibri" w:hAnsi="Times New Roman" w:cs="Times New Roman"/>
        </w:rPr>
        <w:t xml:space="preserve">ontratti </w:t>
      </w:r>
      <w:r>
        <w:rPr>
          <w:rFonts w:ascii="Times New Roman" w:eastAsia="Calibri" w:hAnsi="Times New Roman" w:cs="Times New Roman"/>
        </w:rPr>
        <w:t xml:space="preserve">pubblici </w:t>
      </w:r>
      <w:r w:rsidRPr="00C72707">
        <w:rPr>
          <w:rFonts w:ascii="Times New Roman" w:eastAsia="Calibri" w:hAnsi="Times New Roman" w:cs="Times New Roman"/>
        </w:rPr>
        <w:t>(“</w:t>
      </w:r>
      <w:r w:rsidRPr="00C72707">
        <w:rPr>
          <w:rFonts w:ascii="Times New Roman" w:eastAsia="Calibri" w:hAnsi="Times New Roman" w:cs="Times New Roman"/>
          <w:i/>
        </w:rPr>
        <w:t>I Contratti nel settore dei beni culturali</w:t>
      </w:r>
      <w:r w:rsidRPr="00C72707">
        <w:rPr>
          <w:rFonts w:ascii="Times New Roman" w:eastAsia="Calibri" w:hAnsi="Times New Roman" w:cs="Times New Roman"/>
        </w:rPr>
        <w:t>”) e l’allegato II.18 (“</w:t>
      </w:r>
      <w:r w:rsidRPr="00C72707">
        <w:rPr>
          <w:rFonts w:ascii="Times New Roman" w:eastAsia="Calibri" w:hAnsi="Times New Roman" w:cs="Times New Roman"/>
          <w:i/>
        </w:rPr>
        <w:t>Qualificazione dei soggetti, progettazione e collaudo nel settore dei beni culturali</w:t>
      </w:r>
      <w:r w:rsidRPr="00C72707">
        <w:rPr>
          <w:rFonts w:ascii="Times New Roman" w:eastAsia="Calibri" w:hAnsi="Times New Roman" w:cs="Times New Roman"/>
        </w:rPr>
        <w:t>”);</w:t>
      </w:r>
    </w:p>
    <w:p w14:paraId="061690BA" w14:textId="77777777" w:rsidR="005E13A0" w:rsidRPr="00EF6399" w:rsidRDefault="005E13A0" w:rsidP="005E13A0">
      <w:pPr>
        <w:numPr>
          <w:ilvl w:val="0"/>
          <w:numId w:val="8"/>
        </w:numPr>
        <w:spacing w:after="80" w:line="240" w:lineRule="auto"/>
        <w:ind w:left="567" w:hanging="567"/>
        <w:jc w:val="both"/>
        <w:rPr>
          <w:rFonts w:ascii="Times New Roman" w:eastAsia="Calibri" w:hAnsi="Times New Roman" w:cs="Times New Roman"/>
          <w:iCs/>
        </w:rPr>
      </w:pPr>
      <w:r w:rsidRPr="00EF6399">
        <w:rPr>
          <w:rFonts w:ascii="Times New Roman" w:eastAsia="Calibri" w:hAnsi="Times New Roman" w:cs="Times New Roman"/>
        </w:rPr>
        <w:t>VISTE le diposizioni relative alla digitalizzazione del ciclo di vita dei contratti</w:t>
      </w:r>
      <w:r w:rsidRPr="00EF6399">
        <w:rPr>
          <w:rFonts w:ascii="Times New Roman" w:eastAsia="Calibri" w:hAnsi="Times New Roman" w:cs="Times New Roman"/>
          <w:iCs/>
        </w:rPr>
        <w:t xml:space="preserve"> di cui al Libro I, Parte II del Codice dei contratti pubblici;</w:t>
      </w:r>
    </w:p>
    <w:p w14:paraId="2ABAE260" w14:textId="77777777" w:rsidR="005E13A0" w:rsidRPr="00EF6399" w:rsidRDefault="005E13A0" w:rsidP="005E13A0">
      <w:pPr>
        <w:numPr>
          <w:ilvl w:val="0"/>
          <w:numId w:val="8"/>
        </w:numPr>
        <w:spacing w:after="80" w:line="240" w:lineRule="auto"/>
        <w:ind w:left="567" w:hanging="567"/>
        <w:jc w:val="both"/>
        <w:rPr>
          <w:rFonts w:ascii="Times New Roman" w:hAnsi="Times New Roman"/>
        </w:rPr>
      </w:pPr>
      <w:r w:rsidRPr="00EF6399">
        <w:rPr>
          <w:rFonts w:ascii="Times New Roman" w:hAnsi="Times New Roman"/>
        </w:rPr>
        <w:t>VISTO il D.Lgs. n. 33/2013 e s.m.i.;</w:t>
      </w:r>
    </w:p>
    <w:p w14:paraId="5E8B3632" w14:textId="77777777" w:rsidR="005E13A0" w:rsidRPr="00EF6399" w:rsidRDefault="005E13A0" w:rsidP="005E13A0">
      <w:pPr>
        <w:numPr>
          <w:ilvl w:val="0"/>
          <w:numId w:val="8"/>
        </w:numPr>
        <w:spacing w:after="80" w:line="240" w:lineRule="auto"/>
        <w:ind w:left="567" w:hanging="567"/>
        <w:jc w:val="both"/>
        <w:rPr>
          <w:rFonts w:ascii="Times New Roman" w:hAnsi="Times New Roman"/>
          <w:i/>
          <w:iCs/>
        </w:rPr>
      </w:pPr>
      <w:r w:rsidRPr="00EF6399">
        <w:rPr>
          <w:rFonts w:ascii="Times New Roman" w:hAnsi="Times New Roman"/>
          <w:iCs/>
        </w:rPr>
        <w:t>VISTO il D.Lgs n. 82/2005 (</w:t>
      </w:r>
      <w:r w:rsidRPr="00EF6399">
        <w:rPr>
          <w:rFonts w:ascii="Times New Roman" w:hAnsi="Times New Roman"/>
          <w:i/>
          <w:iCs/>
        </w:rPr>
        <w:t>Codice dell'amministrazione digitale</w:t>
      </w:r>
      <w:r w:rsidRPr="00EF6399">
        <w:rPr>
          <w:rFonts w:ascii="Times New Roman" w:hAnsi="Times New Roman"/>
          <w:iCs/>
        </w:rPr>
        <w:t xml:space="preserve">) </w:t>
      </w:r>
      <w:r w:rsidRPr="00EF6399">
        <w:rPr>
          <w:rFonts w:ascii="Times New Roman" w:hAnsi="Times New Roman"/>
        </w:rPr>
        <w:t>e s.m.i.</w:t>
      </w:r>
      <w:r w:rsidRPr="00EF6399">
        <w:rPr>
          <w:rFonts w:ascii="Times New Roman" w:hAnsi="Times New Roman"/>
          <w:iCs/>
        </w:rPr>
        <w:t>;</w:t>
      </w:r>
    </w:p>
    <w:p w14:paraId="73342073" w14:textId="032F0DBF" w:rsidR="005E13A0" w:rsidRPr="005E13A0" w:rsidRDefault="005E13A0" w:rsidP="005E13A0">
      <w:pPr>
        <w:pStyle w:val="Paragrafoelenco"/>
        <w:numPr>
          <w:ilvl w:val="0"/>
          <w:numId w:val="8"/>
        </w:numPr>
        <w:spacing w:after="80" w:line="240" w:lineRule="auto"/>
        <w:ind w:left="567" w:hanging="567"/>
        <w:jc w:val="both"/>
        <w:rPr>
          <w:rFonts w:ascii="Times New Roman" w:eastAsia="Calibri" w:hAnsi="Times New Roman" w:cs="Times New Roman"/>
          <w:strike/>
          <w:color w:val="FF0000"/>
        </w:rPr>
      </w:pPr>
      <w:r w:rsidRPr="00FF3BBA">
        <w:rPr>
          <w:rFonts w:ascii="Times New Roman" w:eastAsia="Calibri" w:hAnsi="Times New Roman" w:cs="Times New Roman"/>
        </w:rPr>
        <w:t xml:space="preserve">VISTI gli artt. 51 </w:t>
      </w:r>
      <w:r w:rsidRPr="005E13A0">
        <w:rPr>
          <w:rFonts w:ascii="Times New Roman" w:eastAsia="Calibri" w:hAnsi="Times New Roman" w:cs="Times New Roman"/>
        </w:rPr>
        <w:t>e 93 del Codice dei contratti pubblici;</w:t>
      </w:r>
    </w:p>
    <w:p w14:paraId="5821967F" w14:textId="5453D7DB" w:rsidR="00442231" w:rsidRPr="006F703F" w:rsidRDefault="00FD765E"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6F703F">
        <w:rPr>
          <w:rFonts w:ascii="Times New Roman" w:eastAsia="Calibri" w:hAnsi="Times New Roman" w:cs="Times New Roman"/>
        </w:rPr>
        <w:t>TENUTO CONTO dell’indizione</w:t>
      </w:r>
      <w:r w:rsidR="00442231" w:rsidRPr="006F703F">
        <w:rPr>
          <w:rFonts w:ascii="Times New Roman" w:eastAsia="Calibri" w:hAnsi="Times New Roman" w:cs="Times New Roman"/>
        </w:rPr>
        <w:t xml:space="preserve"> della procedura di gara con scadenza del termine di ricezione delle offerte intercorso in </w:t>
      </w:r>
      <w:r w:rsidR="004671BE" w:rsidRPr="006F703F">
        <w:rPr>
          <w:rFonts w:ascii="Times New Roman" w:eastAsia="Calibri" w:hAnsi="Times New Roman" w:cs="Times New Roman"/>
        </w:rPr>
        <w:t xml:space="preserve">data </w:t>
      </w:r>
      <w:r w:rsidR="004671BE" w:rsidRPr="006F703F">
        <w:rPr>
          <w:rFonts w:ascii="Times New Roman" w:hAnsi="Times New Roman" w:cs="Times New Roman"/>
          <w:color w:val="000000" w:themeColor="text1"/>
        </w:rPr>
        <w:t>__</w:t>
      </w:r>
      <w:r w:rsidR="00BE53F7">
        <w:rPr>
          <w:rFonts w:ascii="Times New Roman" w:hAnsi="Times New Roman" w:cs="Times New Roman"/>
          <w:color w:val="000000" w:themeColor="text1"/>
        </w:rPr>
        <w:t xml:space="preserve">________________ </w:t>
      </w:r>
      <w:r w:rsidR="00BE53F7" w:rsidRPr="00BE53F7">
        <w:rPr>
          <w:rFonts w:ascii="Times New Roman" w:hAnsi="Times New Roman" w:cs="Times New Roman"/>
          <w:color w:val="000000" w:themeColor="text1"/>
        </w:rPr>
        <w:t>[</w:t>
      </w:r>
      <w:r w:rsidR="00BE53F7" w:rsidRPr="00BE53F7">
        <w:rPr>
          <w:rFonts w:ascii="Times New Roman" w:hAnsi="Times New Roman" w:cs="Times New Roman"/>
          <w:b/>
          <w:i/>
          <w:color w:val="000000" w:themeColor="text1"/>
        </w:rPr>
        <w:t>inserire</w:t>
      </w:r>
      <w:r w:rsidR="00BE53F7" w:rsidRPr="00BE53F7">
        <w:rPr>
          <w:rFonts w:ascii="Times New Roman" w:hAnsi="Times New Roman" w:cs="Times New Roman"/>
          <w:color w:val="000000" w:themeColor="text1"/>
        </w:rPr>
        <w:t>]</w:t>
      </w:r>
      <w:r w:rsidR="004671BE" w:rsidRPr="006F703F">
        <w:rPr>
          <w:rFonts w:ascii="Times New Roman" w:hAnsi="Times New Roman" w:cs="Times New Roman"/>
          <w:color w:val="000000" w:themeColor="text1"/>
        </w:rPr>
        <w:t>;</w:t>
      </w:r>
    </w:p>
    <w:p w14:paraId="1B975F74" w14:textId="0632E6BD" w:rsidR="00442231" w:rsidRPr="006F703F" w:rsidRDefault="00FD765E"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6F703F">
        <w:rPr>
          <w:rFonts w:ascii="Times New Roman" w:eastAsia="Calibri" w:hAnsi="Times New Roman" w:cs="Times New Roman"/>
        </w:rPr>
        <w:t>TENUTO CONTO altresì del</w:t>
      </w:r>
      <w:r w:rsidR="00442231" w:rsidRPr="006F703F">
        <w:rPr>
          <w:rFonts w:ascii="Times New Roman" w:eastAsia="Calibri" w:hAnsi="Times New Roman" w:cs="Times New Roman"/>
        </w:rPr>
        <w:t xml:space="preserve">la ricezione </w:t>
      </w:r>
      <w:r w:rsidR="004671BE" w:rsidRPr="006F703F">
        <w:rPr>
          <w:rFonts w:ascii="Times New Roman" w:eastAsia="Calibri" w:hAnsi="Times New Roman" w:cs="Times New Roman"/>
        </w:rPr>
        <w:t xml:space="preserve">di </w:t>
      </w:r>
      <w:r w:rsidR="005A6ADE" w:rsidRPr="006F703F">
        <w:rPr>
          <w:rFonts w:ascii="Times New Roman" w:eastAsia="Calibri" w:hAnsi="Times New Roman" w:cs="Times New Roman"/>
        </w:rPr>
        <w:t>_</w:t>
      </w:r>
      <w:r w:rsidR="004671BE" w:rsidRPr="006F703F">
        <w:rPr>
          <w:rFonts w:ascii="Times New Roman" w:hAnsi="Times New Roman" w:cs="Times New Roman"/>
          <w:color w:val="000000" w:themeColor="text1"/>
        </w:rPr>
        <w:t>_</w:t>
      </w:r>
      <w:r w:rsidR="00BE53F7">
        <w:rPr>
          <w:rFonts w:ascii="Times New Roman" w:hAnsi="Times New Roman" w:cs="Times New Roman"/>
          <w:color w:val="000000" w:themeColor="text1"/>
        </w:rPr>
        <w:t>_____________</w:t>
      </w:r>
      <w:r w:rsidR="005A6ADE" w:rsidRPr="006F703F">
        <w:rPr>
          <w:rFonts w:ascii="Times New Roman" w:eastAsia="Calibri" w:hAnsi="Times New Roman" w:cs="Times New Roman"/>
          <w:color w:val="000000" w:themeColor="text1"/>
        </w:rPr>
        <w:t xml:space="preserve"> </w:t>
      </w:r>
      <w:r w:rsidR="00BE53F7">
        <w:rPr>
          <w:rFonts w:ascii="Times New Roman" w:eastAsia="Calibri" w:hAnsi="Times New Roman" w:cs="Times New Roman"/>
        </w:rPr>
        <w:t>[</w:t>
      </w:r>
      <w:r w:rsidR="00442231" w:rsidRPr="006F703F">
        <w:rPr>
          <w:rFonts w:ascii="Times New Roman" w:eastAsia="Calibri" w:hAnsi="Times New Roman" w:cs="Times New Roman"/>
          <w:b/>
          <w:bCs/>
          <w:i/>
          <w:iCs/>
        </w:rPr>
        <w:t>indicare</w:t>
      </w:r>
      <w:r w:rsidR="00442231" w:rsidRPr="006F703F">
        <w:rPr>
          <w:rFonts w:ascii="Times New Roman" w:eastAsia="Calibri" w:hAnsi="Times New Roman" w:cs="Times New Roman"/>
          <w:i/>
          <w:iCs/>
        </w:rPr>
        <w:t xml:space="preserve"> il numero di offerte</w:t>
      </w:r>
      <w:r w:rsidR="00BE53F7">
        <w:rPr>
          <w:rFonts w:ascii="Times New Roman" w:eastAsia="Calibri" w:hAnsi="Times New Roman" w:cs="Times New Roman"/>
          <w:iCs/>
        </w:rPr>
        <w:t>]</w:t>
      </w:r>
      <w:r w:rsidR="00442231" w:rsidRPr="006F703F">
        <w:rPr>
          <w:rFonts w:ascii="Times New Roman" w:eastAsia="Calibri" w:hAnsi="Times New Roman" w:cs="Times New Roman"/>
        </w:rPr>
        <w:t xml:space="preserve"> pervenute dagli operatori economici allo scadere del termine di ricezione di cui al punto precedente;</w:t>
      </w:r>
    </w:p>
    <w:p w14:paraId="6B1FDEDD" w14:textId="6EC77170" w:rsidR="000552AE" w:rsidRPr="006F703F" w:rsidRDefault="00FD765E"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6F703F">
        <w:rPr>
          <w:rFonts w:ascii="Times New Roman" w:eastAsia="Calibri" w:hAnsi="Times New Roman" w:cs="Times New Roman"/>
        </w:rPr>
        <w:t xml:space="preserve">CONSIDERATA </w:t>
      </w:r>
      <w:r w:rsidR="00442231" w:rsidRPr="006F703F">
        <w:rPr>
          <w:rFonts w:ascii="Times New Roman" w:eastAsia="Calibri" w:hAnsi="Times New Roman" w:cs="Times New Roman"/>
        </w:rPr>
        <w:t>la necessità di procedere alla nomina della Commissione giudicatrice relativa all’intervento in oggetto</w:t>
      </w:r>
      <w:r w:rsidR="00F60E76" w:rsidRPr="006F703F">
        <w:rPr>
          <w:rFonts w:ascii="Times New Roman" w:eastAsia="Calibri" w:hAnsi="Times New Roman" w:cs="Times New Roman"/>
        </w:rPr>
        <w:t>;</w:t>
      </w:r>
    </w:p>
    <w:p w14:paraId="7D819465" w14:textId="6B032FB7" w:rsidR="008743E4" w:rsidRPr="006F703F" w:rsidRDefault="008743E4" w:rsidP="00EB2A30">
      <w:pPr>
        <w:pStyle w:val="Default"/>
        <w:spacing w:after="80"/>
        <w:jc w:val="both"/>
        <w:rPr>
          <w:rFonts w:ascii="Times New Roman" w:hAnsi="Times New Roman" w:cs="Times New Roman"/>
          <w:b/>
          <w:bCs/>
          <w:sz w:val="22"/>
          <w:szCs w:val="22"/>
        </w:rPr>
      </w:pPr>
      <w:r w:rsidRPr="006F703F">
        <w:rPr>
          <w:rFonts w:ascii="Times New Roman" w:hAnsi="Times New Roman" w:cs="Times New Roman"/>
          <w:b/>
          <w:bCs/>
          <w:sz w:val="22"/>
          <w:szCs w:val="22"/>
        </w:rPr>
        <w:t xml:space="preserve">TUTTO QUANTO SOPRA PREMESSO, </w:t>
      </w:r>
    </w:p>
    <w:p w14:paraId="377DAA83" w14:textId="06606574" w:rsidR="008743E4" w:rsidRPr="006F703F" w:rsidRDefault="008743E4" w:rsidP="00EB2A30">
      <w:pPr>
        <w:pStyle w:val="Default"/>
        <w:spacing w:after="80"/>
        <w:jc w:val="center"/>
        <w:rPr>
          <w:rFonts w:ascii="Times New Roman" w:hAnsi="Times New Roman" w:cs="Times New Roman"/>
          <w:b/>
          <w:bCs/>
          <w:sz w:val="22"/>
          <w:szCs w:val="22"/>
        </w:rPr>
      </w:pPr>
      <w:r w:rsidRPr="006F703F">
        <w:rPr>
          <w:rFonts w:ascii="Times New Roman" w:hAnsi="Times New Roman" w:cs="Times New Roman"/>
          <w:b/>
          <w:bCs/>
          <w:sz w:val="22"/>
          <w:szCs w:val="22"/>
        </w:rPr>
        <w:t>DETERMINA</w:t>
      </w:r>
    </w:p>
    <w:p w14:paraId="5F153A10" w14:textId="323DE47F" w:rsidR="00442231" w:rsidRPr="006F703F" w:rsidRDefault="00442231" w:rsidP="00EB2A30">
      <w:pPr>
        <w:pStyle w:val="Default"/>
        <w:spacing w:after="80"/>
        <w:jc w:val="both"/>
        <w:rPr>
          <w:rFonts w:ascii="Times New Roman" w:hAnsi="Times New Roman" w:cs="Times New Roman"/>
          <w:sz w:val="22"/>
          <w:szCs w:val="22"/>
        </w:rPr>
      </w:pPr>
      <w:r w:rsidRPr="006F703F">
        <w:rPr>
          <w:rFonts w:ascii="Times New Roman" w:hAnsi="Times New Roman" w:cs="Times New Roman"/>
          <w:sz w:val="22"/>
          <w:szCs w:val="22"/>
        </w:rPr>
        <w:t>per la valutazione, sulla base del miglior rapporto qualità/prezzo, delle offerte, dal punto di vista tecnico</w:t>
      </w:r>
      <w:r w:rsidR="00DF4A95" w:rsidRPr="006F703F">
        <w:rPr>
          <w:rFonts w:ascii="Times New Roman" w:hAnsi="Times New Roman" w:cs="Times New Roman"/>
          <w:sz w:val="22"/>
          <w:szCs w:val="22"/>
        </w:rPr>
        <w:t xml:space="preserve"> </w:t>
      </w:r>
      <w:r w:rsidRPr="006F703F">
        <w:rPr>
          <w:rFonts w:ascii="Times New Roman" w:hAnsi="Times New Roman" w:cs="Times New Roman"/>
          <w:sz w:val="22"/>
          <w:szCs w:val="22"/>
        </w:rPr>
        <w:t>(</w:t>
      </w:r>
      <w:r w:rsidRPr="006F703F">
        <w:rPr>
          <w:rFonts w:ascii="Times New Roman" w:hAnsi="Times New Roman" w:cs="Times New Roman"/>
          <w:i/>
          <w:iCs/>
          <w:sz w:val="22"/>
          <w:szCs w:val="22"/>
        </w:rPr>
        <w:t>offerta tecnica</w:t>
      </w:r>
      <w:r w:rsidRPr="006F703F">
        <w:rPr>
          <w:rFonts w:ascii="Times New Roman" w:hAnsi="Times New Roman" w:cs="Times New Roman"/>
          <w:sz w:val="22"/>
          <w:szCs w:val="22"/>
        </w:rPr>
        <w:t>) ed economico (</w:t>
      </w:r>
      <w:r w:rsidRPr="006F703F">
        <w:rPr>
          <w:rFonts w:ascii="Times New Roman" w:hAnsi="Times New Roman" w:cs="Times New Roman"/>
          <w:i/>
          <w:iCs/>
          <w:sz w:val="22"/>
          <w:szCs w:val="22"/>
        </w:rPr>
        <w:t>offerta economica</w:t>
      </w:r>
      <w:r w:rsidRPr="006F703F">
        <w:rPr>
          <w:rFonts w:ascii="Times New Roman" w:hAnsi="Times New Roman" w:cs="Times New Roman"/>
          <w:sz w:val="22"/>
          <w:szCs w:val="22"/>
        </w:rPr>
        <w:t>), pervenute nei termini dagli operatori economici</w:t>
      </w:r>
      <w:r w:rsidR="00F74154" w:rsidRPr="006F703F">
        <w:rPr>
          <w:rFonts w:ascii="Times New Roman" w:hAnsi="Times New Roman" w:cs="Times New Roman"/>
          <w:sz w:val="22"/>
          <w:szCs w:val="22"/>
        </w:rPr>
        <w:t xml:space="preserve"> </w:t>
      </w:r>
      <w:r w:rsidRPr="006F703F">
        <w:rPr>
          <w:rFonts w:ascii="Times New Roman" w:hAnsi="Times New Roman" w:cs="Times New Roman"/>
          <w:sz w:val="22"/>
          <w:szCs w:val="22"/>
        </w:rPr>
        <w:t>nell’ambito della procedura di gara in oggetto, nonché, ove applicabile, per la eventuale valutazione, in</w:t>
      </w:r>
      <w:r w:rsidR="00DF4A95" w:rsidRPr="006F703F">
        <w:rPr>
          <w:rFonts w:ascii="Times New Roman" w:hAnsi="Times New Roman" w:cs="Times New Roman"/>
          <w:sz w:val="22"/>
          <w:szCs w:val="22"/>
        </w:rPr>
        <w:t xml:space="preserve"> </w:t>
      </w:r>
      <w:r w:rsidRPr="006F703F">
        <w:rPr>
          <w:rFonts w:ascii="Times New Roman" w:hAnsi="Times New Roman" w:cs="Times New Roman"/>
          <w:sz w:val="22"/>
          <w:szCs w:val="22"/>
        </w:rPr>
        <w:t>supporto al RUP, della congruità delle offerte ai sensi de</w:t>
      </w:r>
      <w:r w:rsidR="00EB2A30" w:rsidRPr="006F703F">
        <w:rPr>
          <w:rFonts w:ascii="Times New Roman" w:hAnsi="Times New Roman" w:cs="Times New Roman"/>
          <w:sz w:val="22"/>
          <w:szCs w:val="22"/>
        </w:rPr>
        <w:t>ll’art. 1</w:t>
      </w:r>
      <w:r w:rsidR="00240CD8" w:rsidRPr="006F703F">
        <w:rPr>
          <w:rFonts w:ascii="Times New Roman" w:hAnsi="Times New Roman" w:cs="Times New Roman"/>
          <w:sz w:val="22"/>
          <w:szCs w:val="22"/>
        </w:rPr>
        <w:t>10</w:t>
      </w:r>
      <w:r w:rsidRPr="006F703F">
        <w:rPr>
          <w:rFonts w:ascii="Times New Roman" w:hAnsi="Times New Roman" w:cs="Times New Roman"/>
          <w:sz w:val="22"/>
          <w:szCs w:val="22"/>
        </w:rPr>
        <w:t xml:space="preserve"> del Codice dei </w:t>
      </w:r>
      <w:r w:rsidR="00BE53F7">
        <w:rPr>
          <w:rFonts w:ascii="Times New Roman" w:hAnsi="Times New Roman" w:cs="Times New Roman"/>
          <w:sz w:val="22"/>
          <w:szCs w:val="22"/>
        </w:rPr>
        <w:t>c</w:t>
      </w:r>
      <w:r w:rsidRPr="006F703F">
        <w:rPr>
          <w:rFonts w:ascii="Times New Roman" w:hAnsi="Times New Roman" w:cs="Times New Roman"/>
          <w:sz w:val="22"/>
          <w:szCs w:val="22"/>
        </w:rPr>
        <w:t>ontratt</w:t>
      </w:r>
      <w:r w:rsidR="004671BE" w:rsidRPr="006F703F">
        <w:rPr>
          <w:rFonts w:ascii="Times New Roman" w:hAnsi="Times New Roman" w:cs="Times New Roman"/>
          <w:sz w:val="22"/>
          <w:szCs w:val="22"/>
        </w:rPr>
        <w:t xml:space="preserve">i </w:t>
      </w:r>
      <w:r w:rsidR="00CC719D">
        <w:rPr>
          <w:rFonts w:ascii="Times New Roman" w:hAnsi="Times New Roman" w:cs="Times New Roman"/>
          <w:sz w:val="22"/>
          <w:szCs w:val="22"/>
        </w:rPr>
        <w:t xml:space="preserve">pubblici </w:t>
      </w:r>
      <w:r w:rsidR="00D3398A" w:rsidRPr="006F703F">
        <w:rPr>
          <w:rFonts w:ascii="Times New Roman" w:hAnsi="Times New Roman" w:cs="Times New Roman"/>
          <w:sz w:val="22"/>
          <w:szCs w:val="22"/>
        </w:rPr>
        <w:t>[</w:t>
      </w:r>
      <w:r w:rsidR="00D3398A" w:rsidRPr="006F703F">
        <w:rPr>
          <w:rFonts w:ascii="Times New Roman" w:hAnsi="Times New Roman" w:cs="Times New Roman"/>
          <w:b/>
          <w:sz w:val="22"/>
          <w:szCs w:val="22"/>
        </w:rPr>
        <w:t>N.B.</w:t>
      </w:r>
      <w:r w:rsidR="00D3398A" w:rsidRPr="006F703F">
        <w:rPr>
          <w:rFonts w:ascii="Times New Roman" w:hAnsi="Times New Roman" w:cs="Times New Roman"/>
          <w:sz w:val="22"/>
          <w:szCs w:val="22"/>
        </w:rPr>
        <w:t xml:space="preserve"> </w:t>
      </w:r>
      <w:r w:rsidR="00E63871" w:rsidRPr="00E63871">
        <w:rPr>
          <w:rFonts w:ascii="Times New Roman" w:hAnsi="Times New Roman" w:cs="Times New Roman"/>
          <w:i/>
          <w:sz w:val="22"/>
          <w:szCs w:val="22"/>
        </w:rPr>
        <w:t xml:space="preserve">Nel caso di utilizzo del criterio del minor prezzo si rinvia all’art. 1, co. 3 del D. L. n. 76/2020, </w:t>
      </w:r>
      <w:r w:rsidR="00E63871" w:rsidRPr="00EF6399">
        <w:rPr>
          <w:rFonts w:ascii="Times New Roman" w:hAnsi="Times New Roman" w:cs="Times New Roman"/>
          <w:i/>
          <w:color w:val="auto"/>
          <w:sz w:val="22"/>
          <w:szCs w:val="22"/>
        </w:rPr>
        <w:t>conv. L. n. 120/2020, come modificato dall’art. 51 del D. L. n. 77/2021, conv. L. n. 108/2021 e s.m.i. e all’art. 54 del Codice dei contratti pubblici</w:t>
      </w:r>
      <w:r w:rsidR="00BB683F" w:rsidRPr="00EF6399">
        <w:rPr>
          <w:rFonts w:ascii="Times New Roman" w:hAnsi="Times New Roman" w:cs="Times New Roman"/>
          <w:color w:val="auto"/>
          <w:sz w:val="22"/>
          <w:szCs w:val="22"/>
        </w:rPr>
        <w:t>]</w:t>
      </w:r>
      <w:r w:rsidRPr="00EF6399">
        <w:rPr>
          <w:rFonts w:ascii="Times New Roman" w:hAnsi="Times New Roman" w:cs="Times New Roman"/>
          <w:color w:val="auto"/>
          <w:sz w:val="22"/>
          <w:szCs w:val="22"/>
        </w:rPr>
        <w:t>, d</w:t>
      </w:r>
      <w:r w:rsidR="004671BE" w:rsidRPr="00EF6399">
        <w:rPr>
          <w:rFonts w:ascii="Times New Roman" w:hAnsi="Times New Roman" w:cs="Times New Roman"/>
          <w:color w:val="auto"/>
          <w:sz w:val="22"/>
          <w:szCs w:val="22"/>
        </w:rPr>
        <w:t xml:space="preserve">i </w:t>
      </w:r>
      <w:r w:rsidRPr="006F703F">
        <w:rPr>
          <w:rFonts w:ascii="Times New Roman" w:hAnsi="Times New Roman" w:cs="Times New Roman"/>
          <w:sz w:val="22"/>
          <w:szCs w:val="22"/>
        </w:rPr>
        <w:t xml:space="preserve">nominare ai sensi </w:t>
      </w:r>
      <w:r w:rsidR="00240CD8" w:rsidRPr="006F703F">
        <w:rPr>
          <w:rFonts w:ascii="Times New Roman" w:hAnsi="Times New Roman" w:cs="Times New Roman"/>
          <w:sz w:val="22"/>
          <w:szCs w:val="22"/>
        </w:rPr>
        <w:t>de</w:t>
      </w:r>
      <w:r w:rsidR="00F74154" w:rsidRPr="006F703F">
        <w:rPr>
          <w:rFonts w:ascii="Times New Roman" w:hAnsi="Times New Roman" w:cs="Times New Roman"/>
          <w:sz w:val="22"/>
          <w:szCs w:val="22"/>
        </w:rPr>
        <w:t>gli artt. 51 e</w:t>
      </w:r>
      <w:r w:rsidR="00240CD8" w:rsidRPr="006F703F">
        <w:rPr>
          <w:rFonts w:ascii="Times New Roman" w:hAnsi="Times New Roman" w:cs="Times New Roman"/>
          <w:sz w:val="22"/>
          <w:szCs w:val="22"/>
        </w:rPr>
        <w:t xml:space="preserve"> 93</w:t>
      </w:r>
      <w:r w:rsidRPr="006F703F">
        <w:rPr>
          <w:rFonts w:ascii="Times New Roman" w:hAnsi="Times New Roman" w:cs="Times New Roman"/>
          <w:sz w:val="22"/>
          <w:szCs w:val="22"/>
        </w:rPr>
        <w:t xml:space="preserve"> del Codice dei</w:t>
      </w:r>
      <w:r w:rsidR="004671BE" w:rsidRPr="006F703F">
        <w:rPr>
          <w:rFonts w:ascii="Times New Roman" w:hAnsi="Times New Roman" w:cs="Times New Roman"/>
          <w:sz w:val="22"/>
          <w:szCs w:val="22"/>
        </w:rPr>
        <w:t xml:space="preserve"> </w:t>
      </w:r>
      <w:r w:rsidR="00BE53F7">
        <w:rPr>
          <w:rFonts w:ascii="Times New Roman" w:hAnsi="Times New Roman" w:cs="Times New Roman"/>
          <w:sz w:val="22"/>
          <w:szCs w:val="22"/>
        </w:rPr>
        <w:t>c</w:t>
      </w:r>
      <w:r w:rsidRPr="006F703F">
        <w:rPr>
          <w:rFonts w:ascii="Times New Roman" w:hAnsi="Times New Roman" w:cs="Times New Roman"/>
          <w:sz w:val="22"/>
          <w:szCs w:val="22"/>
        </w:rPr>
        <w:t>ontratti</w:t>
      </w:r>
      <w:r w:rsidR="00CC719D">
        <w:rPr>
          <w:rFonts w:ascii="Times New Roman" w:hAnsi="Times New Roman" w:cs="Times New Roman"/>
          <w:sz w:val="22"/>
          <w:szCs w:val="22"/>
        </w:rPr>
        <w:t xml:space="preserve"> pubblici</w:t>
      </w:r>
      <w:r w:rsidRPr="006F703F">
        <w:rPr>
          <w:rFonts w:ascii="Times New Roman" w:hAnsi="Times New Roman" w:cs="Times New Roman"/>
          <w:sz w:val="22"/>
          <w:szCs w:val="22"/>
        </w:rPr>
        <w:t>, la Commissione di aggiudicazione per la procedura di gara in oggetto, nelle persone di seguito indicate</w:t>
      </w:r>
      <w:r w:rsidR="00F74154" w:rsidRPr="006F703F">
        <w:rPr>
          <w:rFonts w:ascii="Times New Roman" w:hAnsi="Times New Roman" w:cs="Times New Roman"/>
          <w:sz w:val="22"/>
          <w:szCs w:val="22"/>
        </w:rPr>
        <w:t xml:space="preserve"> [</w:t>
      </w:r>
      <w:r w:rsidR="00F74154" w:rsidRPr="006F703F">
        <w:rPr>
          <w:rFonts w:ascii="Times New Roman" w:hAnsi="Times New Roman" w:cs="Times New Roman"/>
          <w:b/>
          <w:sz w:val="22"/>
          <w:szCs w:val="22"/>
        </w:rPr>
        <w:t>N.B.</w:t>
      </w:r>
      <w:r w:rsidR="00F74154" w:rsidRPr="006F703F">
        <w:rPr>
          <w:rFonts w:ascii="Times New Roman" w:hAnsi="Times New Roman" w:cs="Times New Roman"/>
          <w:sz w:val="22"/>
          <w:szCs w:val="22"/>
        </w:rPr>
        <w:t xml:space="preserve"> </w:t>
      </w:r>
      <w:r w:rsidR="00F74154" w:rsidRPr="006F703F">
        <w:rPr>
          <w:rFonts w:ascii="Times New Roman" w:hAnsi="Times New Roman" w:cs="Times New Roman"/>
          <w:i/>
          <w:sz w:val="22"/>
          <w:szCs w:val="22"/>
        </w:rPr>
        <w:t xml:space="preserve">Ai sensi dell’art 51 del Codice dei </w:t>
      </w:r>
      <w:r w:rsidR="0052492A">
        <w:rPr>
          <w:rFonts w:ascii="Times New Roman" w:hAnsi="Times New Roman" w:cs="Times New Roman"/>
          <w:i/>
          <w:sz w:val="22"/>
          <w:szCs w:val="22"/>
        </w:rPr>
        <w:t>c</w:t>
      </w:r>
      <w:r w:rsidR="00F74154" w:rsidRPr="006F703F">
        <w:rPr>
          <w:rFonts w:ascii="Times New Roman" w:hAnsi="Times New Roman" w:cs="Times New Roman"/>
          <w:i/>
          <w:sz w:val="22"/>
          <w:szCs w:val="22"/>
        </w:rPr>
        <w:t>ontratti</w:t>
      </w:r>
      <w:r w:rsidR="0052492A">
        <w:rPr>
          <w:rFonts w:ascii="Times New Roman" w:hAnsi="Times New Roman" w:cs="Times New Roman"/>
          <w:i/>
          <w:sz w:val="22"/>
          <w:szCs w:val="22"/>
        </w:rPr>
        <w:t xml:space="preserve"> pubblici</w:t>
      </w:r>
      <w:r w:rsidR="00F74154" w:rsidRPr="006F703F">
        <w:rPr>
          <w:rFonts w:ascii="Times New Roman" w:hAnsi="Times New Roman" w:cs="Times New Roman"/>
          <w:i/>
          <w:sz w:val="22"/>
          <w:szCs w:val="22"/>
        </w:rPr>
        <w:t xml:space="preserve"> </w:t>
      </w:r>
      <w:r w:rsidR="00F74154" w:rsidRPr="006F703F">
        <w:rPr>
          <w:rFonts w:ascii="Times New Roman" w:hAnsi="Times New Roman" w:cs="Times New Roman"/>
          <w:sz w:val="22"/>
          <w:szCs w:val="22"/>
        </w:rPr>
        <w:t>“</w:t>
      </w:r>
      <w:r w:rsidR="00F74154" w:rsidRPr="006F703F">
        <w:rPr>
          <w:rFonts w:ascii="Times New Roman" w:hAnsi="Times New Roman" w:cs="Times New Roman"/>
          <w:b/>
          <w:i/>
          <w:sz w:val="22"/>
          <w:szCs w:val="22"/>
        </w:rPr>
        <w:t xml:space="preserve">Nel caso di aggiudicazione dei contratti di cui alla presente Parte </w:t>
      </w:r>
      <w:r w:rsidR="00F74154" w:rsidRPr="006F703F">
        <w:rPr>
          <w:rFonts w:ascii="Times New Roman" w:hAnsi="Times New Roman" w:cs="Times New Roman"/>
          <w:b/>
          <w:sz w:val="22"/>
          <w:szCs w:val="22"/>
        </w:rPr>
        <w:t xml:space="preserve">(Contratti di importo inferiore alle soglie europee) </w:t>
      </w:r>
      <w:r w:rsidR="00F74154" w:rsidRPr="006F703F">
        <w:rPr>
          <w:rFonts w:ascii="Times New Roman" w:hAnsi="Times New Roman" w:cs="Times New Roman"/>
          <w:b/>
          <w:i/>
          <w:sz w:val="22"/>
          <w:szCs w:val="22"/>
        </w:rPr>
        <w:t>con il criterio dell'offerta economicamente più vantaggiosa, alla commissione giudicatrice può partecipare il RUP, anche in qualità di presidente</w:t>
      </w:r>
      <w:r w:rsidR="00F74154" w:rsidRPr="006F703F">
        <w:rPr>
          <w:rFonts w:ascii="Times New Roman" w:hAnsi="Times New Roman" w:cs="Times New Roman"/>
          <w:sz w:val="22"/>
          <w:szCs w:val="22"/>
        </w:rPr>
        <w:t>”</w:t>
      </w:r>
      <w:r w:rsidR="00F5433E" w:rsidRPr="006F703F">
        <w:rPr>
          <w:rFonts w:ascii="Times New Roman" w:hAnsi="Times New Roman" w:cs="Times New Roman"/>
          <w:sz w:val="22"/>
          <w:szCs w:val="22"/>
        </w:rPr>
        <w:t xml:space="preserve">. </w:t>
      </w:r>
      <w:r w:rsidR="00F5433E" w:rsidRPr="006F703F">
        <w:rPr>
          <w:rFonts w:ascii="Times New Roman" w:hAnsi="Times New Roman" w:cs="Times New Roman"/>
          <w:i/>
          <w:sz w:val="22"/>
          <w:szCs w:val="22"/>
        </w:rPr>
        <w:t>Con riferimento alla composizione della Commissione si precisa inoltre che l’art. 93 del Codice dei Contratti</w:t>
      </w:r>
      <w:r w:rsidR="00CC719D">
        <w:rPr>
          <w:rFonts w:ascii="Times New Roman" w:hAnsi="Times New Roman" w:cs="Times New Roman"/>
          <w:i/>
          <w:sz w:val="22"/>
          <w:szCs w:val="22"/>
        </w:rPr>
        <w:t xml:space="preserve"> pubblici</w:t>
      </w:r>
      <w:r w:rsidR="00F5433E" w:rsidRPr="006F703F">
        <w:rPr>
          <w:rFonts w:ascii="Times New Roman" w:hAnsi="Times New Roman" w:cs="Times New Roman"/>
          <w:i/>
          <w:sz w:val="22"/>
          <w:szCs w:val="22"/>
        </w:rPr>
        <w:t xml:space="preserve"> prevede che “2. La commissione è composta da un numero dispari di componenti, in numero massimo di cinque, esperti </w:t>
      </w:r>
      <w:r w:rsidR="00F5433E" w:rsidRPr="006F703F">
        <w:rPr>
          <w:rFonts w:ascii="Times New Roman" w:hAnsi="Times New Roman" w:cs="Times New Roman"/>
          <w:i/>
          <w:sz w:val="22"/>
          <w:szCs w:val="22"/>
        </w:rPr>
        <w:lastRenderedPageBreak/>
        <w:t xml:space="preserve">nello specifico settore cui si riferisce l’oggetto del contratto. Possono essere nominati componenti supplenti. 3. La commissione è presieduta e composta da dipendenti della stazione appaltante o delle amministrazioni beneficiarie dell’intervento, in possesso del necessario inquadramento giuridico e di adeguate competenze professionali. Della commissione giudicatrice può far parte il RUP. In mancanza di adeguate professionalità in organico, la stazione appaltante può scegliere il Presidente e i singoli componenti della commissione anche tra funzionari di altre amministrazioni e, in caso di documentata indisponibilità, tra professionisti esterni. </w:t>
      </w:r>
      <w:r w:rsidR="00F5433E" w:rsidRPr="006F703F">
        <w:rPr>
          <w:rFonts w:ascii="Times New Roman" w:hAnsi="Times New Roman" w:cs="Times New Roman"/>
          <w:b/>
          <w:i/>
          <w:sz w:val="22"/>
          <w:szCs w:val="22"/>
        </w:rPr>
        <w:t>Le nomine di cui al presente comma sono compiute secondo criteri di trasparenza, competenza e rotazione</w:t>
      </w:r>
      <w:r w:rsidR="00F5433E" w:rsidRPr="006F703F">
        <w:rPr>
          <w:rFonts w:ascii="Times New Roman" w:hAnsi="Times New Roman" w:cs="Times New Roman"/>
          <w:sz w:val="22"/>
          <w:szCs w:val="22"/>
        </w:rPr>
        <w:t>”</w:t>
      </w:r>
      <w:r w:rsidR="00F74154" w:rsidRPr="006F703F">
        <w:rPr>
          <w:rFonts w:ascii="Times New Roman" w:hAnsi="Times New Roman" w:cs="Times New Roman"/>
          <w:sz w:val="22"/>
          <w:szCs w:val="22"/>
        </w:rPr>
        <w:t>]</w:t>
      </w:r>
      <w:r w:rsidRPr="006F703F">
        <w:rPr>
          <w:rFonts w:ascii="Times New Roman" w:hAnsi="Times New Roman" w:cs="Times New Roman"/>
          <w:sz w:val="22"/>
          <w:szCs w:val="22"/>
        </w:rPr>
        <w:t>:</w:t>
      </w:r>
    </w:p>
    <w:p w14:paraId="4C615C37" w14:textId="27B1FAA4" w:rsidR="00442231" w:rsidRPr="006F703F" w:rsidRDefault="00442231" w:rsidP="00EB2A30">
      <w:pPr>
        <w:pStyle w:val="Default"/>
        <w:spacing w:after="80"/>
        <w:ind w:left="709"/>
        <w:jc w:val="both"/>
        <w:rPr>
          <w:rFonts w:ascii="Times New Roman" w:hAnsi="Times New Roman" w:cs="Times New Roman"/>
          <w:sz w:val="22"/>
          <w:szCs w:val="22"/>
        </w:rPr>
      </w:pPr>
      <w:r w:rsidRPr="006F703F">
        <w:rPr>
          <w:rFonts w:ascii="Times New Roman" w:hAnsi="Times New Roman" w:cs="Times New Roman"/>
          <w:sz w:val="22"/>
          <w:szCs w:val="22"/>
        </w:rPr>
        <w:t>- PRESIDENTE</w:t>
      </w:r>
      <w:r w:rsidR="008D18EE" w:rsidRPr="006F703F">
        <w:rPr>
          <w:rFonts w:ascii="Times New Roman" w:hAnsi="Times New Roman" w:cs="Times New Roman"/>
          <w:sz w:val="22"/>
          <w:szCs w:val="22"/>
        </w:rPr>
        <w:t xml:space="preserve"> </w:t>
      </w:r>
      <w:r w:rsidR="00852525" w:rsidRPr="006F703F">
        <w:rPr>
          <w:rFonts w:ascii="Times New Roman" w:hAnsi="Times New Roman" w:cs="Times New Roman"/>
          <w:b/>
          <w:sz w:val="22"/>
          <w:szCs w:val="22"/>
        </w:rPr>
        <w:t>_____</w:t>
      </w:r>
    </w:p>
    <w:p w14:paraId="4E1B931B" w14:textId="2FB7813A" w:rsidR="00442231" w:rsidRPr="006F703F" w:rsidRDefault="00442231" w:rsidP="00EB2A30">
      <w:pPr>
        <w:pStyle w:val="Default"/>
        <w:spacing w:after="80"/>
        <w:ind w:left="709"/>
        <w:jc w:val="both"/>
        <w:rPr>
          <w:rFonts w:ascii="Times New Roman" w:hAnsi="Times New Roman" w:cs="Times New Roman"/>
          <w:sz w:val="22"/>
          <w:szCs w:val="22"/>
        </w:rPr>
      </w:pPr>
      <w:r w:rsidRPr="006F703F">
        <w:rPr>
          <w:rFonts w:ascii="Times New Roman" w:hAnsi="Times New Roman" w:cs="Times New Roman"/>
          <w:sz w:val="22"/>
          <w:szCs w:val="22"/>
        </w:rPr>
        <w:t xml:space="preserve">- COMMISSARIO EFFETTIVO </w:t>
      </w:r>
      <w:r w:rsidR="00852525" w:rsidRPr="006F703F">
        <w:rPr>
          <w:rFonts w:ascii="Times New Roman" w:hAnsi="Times New Roman" w:cs="Times New Roman"/>
          <w:b/>
          <w:sz w:val="22"/>
          <w:szCs w:val="22"/>
        </w:rPr>
        <w:t>_____</w:t>
      </w:r>
    </w:p>
    <w:p w14:paraId="12E74695" w14:textId="3B89F84B" w:rsidR="00442231" w:rsidRPr="006F703F" w:rsidRDefault="00442231" w:rsidP="00EB2A30">
      <w:pPr>
        <w:pStyle w:val="Default"/>
        <w:spacing w:after="80"/>
        <w:ind w:left="709"/>
        <w:jc w:val="both"/>
        <w:rPr>
          <w:rFonts w:ascii="Times New Roman" w:hAnsi="Times New Roman" w:cs="Times New Roman"/>
          <w:sz w:val="22"/>
          <w:szCs w:val="22"/>
        </w:rPr>
      </w:pPr>
      <w:r w:rsidRPr="006F703F">
        <w:rPr>
          <w:rFonts w:ascii="Times New Roman" w:hAnsi="Times New Roman" w:cs="Times New Roman"/>
          <w:sz w:val="22"/>
          <w:szCs w:val="22"/>
        </w:rPr>
        <w:t xml:space="preserve">- COMMISSARIO SUPPLENTE </w:t>
      </w:r>
      <w:r w:rsidR="00852525" w:rsidRPr="006F703F">
        <w:rPr>
          <w:rFonts w:ascii="Times New Roman" w:hAnsi="Times New Roman" w:cs="Times New Roman"/>
          <w:b/>
          <w:sz w:val="22"/>
          <w:szCs w:val="22"/>
        </w:rPr>
        <w:t>_____</w:t>
      </w:r>
    </w:p>
    <w:p w14:paraId="4D8B7874" w14:textId="03D05892" w:rsidR="00442231" w:rsidRPr="006F703F" w:rsidRDefault="00442231" w:rsidP="00EB2A30">
      <w:pPr>
        <w:pStyle w:val="Default"/>
        <w:spacing w:after="80"/>
        <w:ind w:left="709"/>
        <w:jc w:val="both"/>
        <w:rPr>
          <w:rFonts w:ascii="Times New Roman" w:hAnsi="Times New Roman" w:cs="Times New Roman"/>
          <w:b/>
          <w:sz w:val="22"/>
          <w:szCs w:val="22"/>
        </w:rPr>
      </w:pPr>
      <w:r w:rsidRPr="006F703F">
        <w:rPr>
          <w:rFonts w:ascii="Times New Roman" w:hAnsi="Times New Roman" w:cs="Times New Roman"/>
          <w:sz w:val="22"/>
          <w:szCs w:val="22"/>
        </w:rPr>
        <w:t xml:space="preserve">- SEGRETARIO </w:t>
      </w:r>
      <w:r w:rsidR="00852525" w:rsidRPr="006F703F">
        <w:rPr>
          <w:rFonts w:ascii="Times New Roman" w:hAnsi="Times New Roman" w:cs="Times New Roman"/>
          <w:b/>
          <w:sz w:val="22"/>
          <w:szCs w:val="22"/>
        </w:rPr>
        <w:t>_____</w:t>
      </w:r>
    </w:p>
    <w:p w14:paraId="7A98C810" w14:textId="77777777" w:rsidR="00442231" w:rsidRPr="006F703F" w:rsidRDefault="00442231" w:rsidP="00EB2A30">
      <w:pPr>
        <w:pStyle w:val="Default"/>
        <w:spacing w:after="80"/>
        <w:jc w:val="both"/>
        <w:rPr>
          <w:rFonts w:ascii="Times New Roman" w:hAnsi="Times New Roman" w:cs="Times New Roman"/>
          <w:sz w:val="22"/>
          <w:szCs w:val="22"/>
        </w:rPr>
      </w:pPr>
      <w:r w:rsidRPr="006F703F">
        <w:rPr>
          <w:rFonts w:ascii="Times New Roman" w:hAnsi="Times New Roman" w:cs="Times New Roman"/>
          <w:sz w:val="22"/>
          <w:szCs w:val="22"/>
        </w:rPr>
        <w:t xml:space="preserve">Il Segretario fornirà supporto ai componenti della Commissione giudicatrice. </w:t>
      </w:r>
    </w:p>
    <w:p w14:paraId="52400A6B" w14:textId="515BB856" w:rsidR="00442231" w:rsidRPr="006F703F" w:rsidRDefault="00442231" w:rsidP="00EB2A30">
      <w:pPr>
        <w:pStyle w:val="Default"/>
        <w:spacing w:after="80"/>
        <w:jc w:val="both"/>
        <w:rPr>
          <w:rFonts w:ascii="Times New Roman" w:hAnsi="Times New Roman" w:cs="Times New Roman"/>
          <w:sz w:val="22"/>
          <w:szCs w:val="22"/>
        </w:rPr>
      </w:pPr>
      <w:r w:rsidRPr="006F703F">
        <w:rPr>
          <w:rFonts w:ascii="Times New Roman" w:hAnsi="Times New Roman" w:cs="Times New Roman"/>
          <w:sz w:val="22"/>
          <w:szCs w:val="22"/>
        </w:rPr>
        <w:t>L’accettazione e l’efficacia dell’incarico è subordinata alla sottoscrizione della dichiarazione che sarà rilasciata da ciascun Commissario ai sensi degli art</w:t>
      </w:r>
      <w:r w:rsidR="00852525" w:rsidRPr="006F703F">
        <w:rPr>
          <w:rFonts w:ascii="Times New Roman" w:hAnsi="Times New Roman" w:cs="Times New Roman"/>
          <w:sz w:val="22"/>
          <w:szCs w:val="22"/>
        </w:rPr>
        <w:t>t.</w:t>
      </w:r>
      <w:r w:rsidRPr="006F703F">
        <w:rPr>
          <w:rFonts w:ascii="Times New Roman" w:hAnsi="Times New Roman" w:cs="Times New Roman"/>
          <w:sz w:val="22"/>
          <w:szCs w:val="22"/>
        </w:rPr>
        <w:t xml:space="preserve"> 46, 47 e 76 del D.P.R. n. 445/2000 e ss.</w:t>
      </w:r>
      <w:r w:rsidR="00D030F2" w:rsidRPr="006F703F">
        <w:rPr>
          <w:rFonts w:ascii="Times New Roman" w:hAnsi="Times New Roman" w:cs="Times New Roman"/>
          <w:sz w:val="22"/>
          <w:szCs w:val="22"/>
        </w:rPr>
        <w:t xml:space="preserve"> </w:t>
      </w:r>
      <w:r w:rsidRPr="006F703F">
        <w:rPr>
          <w:rFonts w:ascii="Times New Roman" w:hAnsi="Times New Roman" w:cs="Times New Roman"/>
          <w:sz w:val="22"/>
          <w:szCs w:val="22"/>
        </w:rPr>
        <w:t xml:space="preserve">circa </w:t>
      </w:r>
      <w:r w:rsidR="00D030F2" w:rsidRPr="006F703F">
        <w:rPr>
          <w:rFonts w:ascii="Times New Roman" w:hAnsi="Times New Roman" w:cs="Times New Roman"/>
          <w:sz w:val="22"/>
          <w:szCs w:val="22"/>
        </w:rPr>
        <w:t xml:space="preserve">l’assenza di cause di incompatibilità e astensione di cui all’art. 93 co. 5 del </w:t>
      </w:r>
      <w:r w:rsidR="00730C7E">
        <w:rPr>
          <w:rFonts w:ascii="Times New Roman" w:hAnsi="Times New Roman" w:cs="Times New Roman"/>
          <w:sz w:val="22"/>
          <w:szCs w:val="22"/>
        </w:rPr>
        <w:t>Codice dei contratti</w:t>
      </w:r>
      <w:r w:rsidR="00CC719D">
        <w:rPr>
          <w:rFonts w:ascii="Times New Roman" w:hAnsi="Times New Roman" w:cs="Times New Roman"/>
          <w:sz w:val="22"/>
          <w:szCs w:val="22"/>
        </w:rPr>
        <w:t xml:space="preserve"> pubblici</w:t>
      </w:r>
      <w:r w:rsidR="00D030F2" w:rsidRPr="006F703F">
        <w:rPr>
          <w:rFonts w:ascii="Times New Roman" w:hAnsi="Times New Roman" w:cs="Times New Roman"/>
          <w:sz w:val="22"/>
          <w:szCs w:val="22"/>
        </w:rPr>
        <w:t>.</w:t>
      </w:r>
    </w:p>
    <w:p w14:paraId="7DDC8767" w14:textId="7F0F132F" w:rsidR="00442231" w:rsidRPr="006F703F" w:rsidRDefault="00442231" w:rsidP="00EB2A30">
      <w:pPr>
        <w:pStyle w:val="Default"/>
        <w:spacing w:after="80"/>
        <w:jc w:val="both"/>
        <w:rPr>
          <w:rFonts w:ascii="Times New Roman" w:hAnsi="Times New Roman" w:cs="Times New Roman"/>
          <w:sz w:val="22"/>
          <w:szCs w:val="22"/>
        </w:rPr>
      </w:pPr>
      <w:r w:rsidRPr="006F703F">
        <w:rPr>
          <w:rFonts w:ascii="Times New Roman" w:hAnsi="Times New Roman" w:cs="Times New Roman"/>
          <w:sz w:val="22"/>
          <w:szCs w:val="22"/>
        </w:rPr>
        <w:t xml:space="preserve">Qualora </w:t>
      </w:r>
      <w:r w:rsidR="007518D0" w:rsidRPr="006F703F">
        <w:rPr>
          <w:rFonts w:ascii="Times New Roman" w:hAnsi="Times New Roman" w:cs="Times New Roman"/>
          <w:sz w:val="22"/>
          <w:szCs w:val="22"/>
        </w:rPr>
        <w:t xml:space="preserve">venissero integrate </w:t>
      </w:r>
      <w:r w:rsidRPr="006F703F">
        <w:rPr>
          <w:rFonts w:ascii="Times New Roman" w:hAnsi="Times New Roman" w:cs="Times New Roman"/>
          <w:sz w:val="22"/>
          <w:szCs w:val="22"/>
        </w:rPr>
        <w:t xml:space="preserve">le cause, anche potenziali, di incompatibilità e di astensione o di conflitto di interesse </w:t>
      </w:r>
      <w:r w:rsidR="00D030F2" w:rsidRPr="006F703F">
        <w:rPr>
          <w:rFonts w:ascii="Times New Roman" w:hAnsi="Times New Roman" w:cs="Times New Roman"/>
          <w:sz w:val="22"/>
          <w:szCs w:val="22"/>
        </w:rPr>
        <w:t xml:space="preserve">in capo ad uno dei membri della Commissione </w:t>
      </w:r>
      <w:r w:rsidR="007518D0" w:rsidRPr="006F703F">
        <w:rPr>
          <w:rFonts w:ascii="Times New Roman" w:hAnsi="Times New Roman" w:cs="Times New Roman"/>
          <w:sz w:val="22"/>
          <w:szCs w:val="22"/>
        </w:rPr>
        <w:t>le operazioni dovranno essere sospese</w:t>
      </w:r>
      <w:r w:rsidRPr="006F703F">
        <w:rPr>
          <w:rFonts w:ascii="Times New Roman" w:hAnsi="Times New Roman" w:cs="Times New Roman"/>
          <w:sz w:val="22"/>
          <w:szCs w:val="22"/>
        </w:rPr>
        <w:t>.</w:t>
      </w:r>
    </w:p>
    <w:p w14:paraId="10438723" w14:textId="7712CED7" w:rsidR="00442231" w:rsidRPr="006F703F" w:rsidRDefault="00442231" w:rsidP="00EB2A30">
      <w:pPr>
        <w:pStyle w:val="Default"/>
        <w:spacing w:after="80"/>
        <w:jc w:val="both"/>
        <w:rPr>
          <w:rFonts w:ascii="Times New Roman" w:hAnsi="Times New Roman" w:cs="Times New Roman"/>
          <w:sz w:val="22"/>
          <w:szCs w:val="22"/>
        </w:rPr>
      </w:pPr>
      <w:r w:rsidRPr="006F703F">
        <w:rPr>
          <w:rFonts w:ascii="Times New Roman" w:hAnsi="Times New Roman" w:cs="Times New Roman"/>
          <w:sz w:val="22"/>
          <w:szCs w:val="22"/>
        </w:rPr>
        <w:t>Le operazioni avranno inizio il giorno e nel luogo che sarà comunicato</w:t>
      </w:r>
      <w:r w:rsidR="007518D0" w:rsidRPr="006F703F">
        <w:rPr>
          <w:rFonts w:ascii="Times New Roman" w:hAnsi="Times New Roman" w:cs="Times New Roman"/>
          <w:sz w:val="22"/>
          <w:szCs w:val="22"/>
        </w:rPr>
        <w:t>,</w:t>
      </w:r>
      <w:r w:rsidRPr="006F703F">
        <w:rPr>
          <w:rFonts w:ascii="Times New Roman" w:hAnsi="Times New Roman" w:cs="Times New Roman"/>
          <w:sz w:val="22"/>
          <w:szCs w:val="22"/>
        </w:rPr>
        <w:t xml:space="preserve"> anche agli operatori economici offerenti</w:t>
      </w:r>
      <w:r w:rsidR="007518D0" w:rsidRPr="006F703F">
        <w:rPr>
          <w:rFonts w:ascii="Times New Roman" w:hAnsi="Times New Roman" w:cs="Times New Roman"/>
          <w:sz w:val="22"/>
          <w:szCs w:val="22"/>
        </w:rPr>
        <w:t>,</w:t>
      </w:r>
      <w:r w:rsidRPr="006F703F">
        <w:rPr>
          <w:rFonts w:ascii="Times New Roman" w:hAnsi="Times New Roman" w:cs="Times New Roman"/>
          <w:sz w:val="22"/>
          <w:szCs w:val="22"/>
        </w:rPr>
        <w:t xml:space="preserve"> con adeguato preavviso. </w:t>
      </w:r>
    </w:p>
    <w:p w14:paraId="09A401FD" w14:textId="77777777" w:rsidR="00442231" w:rsidRPr="006F703F" w:rsidRDefault="00442231" w:rsidP="00EB2A30">
      <w:pPr>
        <w:pStyle w:val="Default"/>
        <w:spacing w:after="80"/>
        <w:jc w:val="both"/>
        <w:rPr>
          <w:rFonts w:ascii="Times New Roman" w:hAnsi="Times New Roman" w:cs="Times New Roman"/>
          <w:sz w:val="22"/>
          <w:szCs w:val="22"/>
        </w:rPr>
      </w:pPr>
      <w:r w:rsidRPr="006F703F">
        <w:rPr>
          <w:rFonts w:ascii="Times New Roman" w:hAnsi="Times New Roman" w:cs="Times New Roman"/>
          <w:sz w:val="22"/>
          <w:szCs w:val="22"/>
        </w:rPr>
        <w:t>Le sedute di gara potranno essere sospese ed aggiornate ad altra ora o giorni successivi.</w:t>
      </w:r>
    </w:p>
    <w:p w14:paraId="73ED0A31" w14:textId="77777777" w:rsidR="00442231" w:rsidRPr="006F703F" w:rsidRDefault="00442231" w:rsidP="00EB2A30">
      <w:pPr>
        <w:pStyle w:val="Default"/>
        <w:spacing w:after="80"/>
        <w:jc w:val="both"/>
        <w:rPr>
          <w:rFonts w:ascii="Times New Roman" w:hAnsi="Times New Roman" w:cs="Times New Roman"/>
          <w:sz w:val="22"/>
          <w:szCs w:val="22"/>
        </w:rPr>
      </w:pPr>
    </w:p>
    <w:p w14:paraId="5D134E5E" w14:textId="4909A176" w:rsidR="0056389A" w:rsidRPr="006F703F" w:rsidRDefault="0056389A" w:rsidP="00EB2A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6F703F">
        <w:rPr>
          <w:rFonts w:ascii="Times New Roman" w:eastAsia="Times New Roman" w:hAnsi="Times New Roman" w:cs="Times New Roman"/>
          <w:lang w:eastAsia="it-IT"/>
        </w:rPr>
        <w:t xml:space="preserve">Firma del dirigente </w:t>
      </w:r>
    </w:p>
    <w:p w14:paraId="48B24C82" w14:textId="77777777" w:rsidR="0056389A" w:rsidRPr="006F703F" w:rsidRDefault="0056389A" w:rsidP="00EB2A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6F703F">
        <w:rPr>
          <w:rFonts w:ascii="Times New Roman" w:eastAsia="Times New Roman" w:hAnsi="Times New Roman" w:cs="Times New Roman"/>
          <w:lang w:eastAsia="it-IT"/>
        </w:rPr>
        <w:t>[</w:t>
      </w:r>
      <w:r w:rsidRPr="006F703F">
        <w:rPr>
          <w:rFonts w:ascii="Times New Roman" w:eastAsia="Times New Roman" w:hAnsi="Times New Roman" w:cs="Times New Roman"/>
          <w:i/>
          <w:iCs/>
          <w:lang w:eastAsia="it-IT"/>
        </w:rPr>
        <w:t>Qualifica, nome cognome</w:t>
      </w:r>
      <w:r w:rsidRPr="006F703F">
        <w:rPr>
          <w:rFonts w:ascii="Times New Roman" w:eastAsia="Times New Roman" w:hAnsi="Times New Roman" w:cs="Times New Roman"/>
          <w:lang w:eastAsia="it-IT"/>
        </w:rPr>
        <w:t>]</w:t>
      </w:r>
    </w:p>
    <w:p w14:paraId="397FEC32" w14:textId="229CA5FB" w:rsidR="00442231" w:rsidRPr="006F703F" w:rsidRDefault="0056389A" w:rsidP="00EB2A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6F703F">
        <w:rPr>
          <w:rFonts w:ascii="Times New Roman" w:eastAsia="Times New Roman" w:hAnsi="Times New Roman" w:cs="Times New Roman"/>
          <w:lang w:eastAsia="it-IT"/>
        </w:rPr>
        <w:t xml:space="preserve">_______________________ </w:t>
      </w:r>
    </w:p>
    <w:p w14:paraId="6E98609A" w14:textId="66BEECA7" w:rsidR="00F74154" w:rsidRPr="006F703F" w:rsidRDefault="00F74154" w:rsidP="00473BF4">
      <w:pPr>
        <w:autoSpaceDE w:val="0"/>
        <w:autoSpaceDN w:val="0"/>
        <w:adjustRightInd w:val="0"/>
        <w:spacing w:after="80" w:line="240" w:lineRule="auto"/>
        <w:ind w:left="4678"/>
        <w:jc w:val="center"/>
        <w:rPr>
          <w:rFonts w:ascii="Times New Roman" w:hAnsi="Times New Roman" w:cs="Times New Roman"/>
        </w:rPr>
      </w:pPr>
    </w:p>
    <w:tbl>
      <w:tblPr>
        <w:tblStyle w:val="Grigliatabella"/>
        <w:tblW w:w="0" w:type="auto"/>
        <w:tblLook w:val="04A0" w:firstRow="1" w:lastRow="0" w:firstColumn="1" w:lastColumn="0" w:noHBand="0" w:noVBand="1"/>
      </w:tblPr>
      <w:tblGrid>
        <w:gridCol w:w="9016"/>
      </w:tblGrid>
      <w:tr w:rsidR="00F74154" w:rsidRPr="00473BF4" w14:paraId="4959AC86" w14:textId="77777777" w:rsidTr="00903733">
        <w:tc>
          <w:tcPr>
            <w:tcW w:w="9016" w:type="dxa"/>
          </w:tcPr>
          <w:p w14:paraId="549A952C" w14:textId="1AADC0F8" w:rsidR="00AF7B40" w:rsidRPr="006F703F" w:rsidRDefault="00AF7B40" w:rsidP="00473BF4">
            <w:pPr>
              <w:spacing w:after="80"/>
              <w:jc w:val="both"/>
              <w:rPr>
                <w:rFonts w:ascii="Times New Roman" w:hAnsi="Times New Roman" w:cs="Times New Roman"/>
                <w:iCs/>
              </w:rPr>
            </w:pPr>
            <w:r w:rsidRPr="006F703F">
              <w:rPr>
                <w:rFonts w:ascii="Times New Roman" w:hAnsi="Times New Roman" w:cs="Times New Roman"/>
                <w:b/>
                <w:i/>
                <w:iCs/>
              </w:rPr>
              <w:t>N.B.</w:t>
            </w:r>
            <w:r w:rsidR="00B413FF" w:rsidRPr="006F703F">
              <w:rPr>
                <w:rFonts w:ascii="Times New Roman" w:hAnsi="Times New Roman" w:cs="Times New Roman"/>
                <w:b/>
                <w:i/>
                <w:iCs/>
              </w:rPr>
              <w:t xml:space="preserve"> </w:t>
            </w:r>
            <w:r w:rsidR="00B413FF" w:rsidRPr="006F703F">
              <w:rPr>
                <w:rFonts w:ascii="Times New Roman" w:hAnsi="Times New Roman" w:cs="Times New Roman"/>
                <w:i/>
                <w:iCs/>
              </w:rPr>
              <w:t>L</w:t>
            </w:r>
            <w:r w:rsidRPr="006F703F">
              <w:rPr>
                <w:rFonts w:ascii="Times New Roman" w:hAnsi="Times New Roman" w:cs="Times New Roman"/>
                <w:i/>
                <w:iCs/>
              </w:rPr>
              <w:t xml:space="preserve">’art. 28 c. 2 </w:t>
            </w:r>
            <w:r w:rsidR="00F27750" w:rsidRPr="006F703F">
              <w:rPr>
                <w:rFonts w:ascii="Times New Roman" w:hAnsi="Times New Roman" w:cs="Times New Roman"/>
                <w:i/>
                <w:iCs/>
              </w:rPr>
              <w:t xml:space="preserve">del Codice dei </w:t>
            </w:r>
            <w:r w:rsidR="00E9657A">
              <w:rPr>
                <w:rFonts w:ascii="Times New Roman" w:hAnsi="Times New Roman" w:cs="Times New Roman"/>
                <w:i/>
                <w:iCs/>
              </w:rPr>
              <w:t>c</w:t>
            </w:r>
            <w:r w:rsidR="00F27750" w:rsidRPr="006F703F">
              <w:rPr>
                <w:rFonts w:ascii="Times New Roman" w:hAnsi="Times New Roman" w:cs="Times New Roman"/>
                <w:i/>
                <w:iCs/>
              </w:rPr>
              <w:t xml:space="preserve">ontratti </w:t>
            </w:r>
            <w:r w:rsidR="00CC719D">
              <w:rPr>
                <w:rFonts w:ascii="Times New Roman" w:hAnsi="Times New Roman" w:cs="Times New Roman"/>
                <w:i/>
                <w:iCs/>
              </w:rPr>
              <w:t xml:space="preserve">pubblici </w:t>
            </w:r>
            <w:r w:rsidR="00B413FF" w:rsidRPr="006F703F">
              <w:rPr>
                <w:rFonts w:ascii="Times New Roman" w:hAnsi="Times New Roman" w:cs="Times New Roman"/>
                <w:i/>
                <w:iCs/>
              </w:rPr>
              <w:t xml:space="preserve">prevede che </w:t>
            </w:r>
            <w:r w:rsidRPr="006F703F">
              <w:rPr>
                <w:rFonts w:ascii="Times New Roman" w:hAnsi="Times New Roman" w:cs="Times New Roman"/>
                <w:i/>
                <w:iCs/>
              </w:rPr>
              <w:t xml:space="preserve">“Le stazioni appaltanti e gli enti concedenti assicurano il collegamento tra la </w:t>
            </w:r>
            <w:r w:rsidRPr="006F703F">
              <w:rPr>
                <w:rFonts w:ascii="Times New Roman" w:hAnsi="Times New Roman" w:cs="Times New Roman"/>
                <w:b/>
                <w:i/>
                <w:iCs/>
              </w:rPr>
              <w:t>sezione «Amministrazione trasparente»</w:t>
            </w:r>
            <w:r w:rsidRPr="006F703F">
              <w:rPr>
                <w:rFonts w:ascii="Times New Roman" w:hAnsi="Times New Roman" w:cs="Times New Roman"/>
                <w:i/>
                <w:iCs/>
              </w:rPr>
              <w:t xml:space="preserve"> </w:t>
            </w:r>
            <w:r w:rsidRPr="006F703F">
              <w:rPr>
                <w:rFonts w:ascii="Times New Roman" w:hAnsi="Times New Roman" w:cs="Times New Roman"/>
                <w:b/>
                <w:i/>
                <w:iCs/>
              </w:rPr>
              <w:t>del sito istituzionale</w:t>
            </w:r>
            <w:r w:rsidRPr="006F703F">
              <w:rPr>
                <w:rFonts w:ascii="Times New Roman" w:hAnsi="Times New Roman" w:cs="Times New Roman"/>
                <w:i/>
                <w:iCs/>
              </w:rPr>
              <w:t xml:space="preserve"> e la Banca dati nazionale dei contratti pubblici, secondo le disposizioni di cui al decreto legislativo 14 marzo 2013, n. 33. </w:t>
            </w:r>
            <w:r w:rsidRPr="006F703F">
              <w:rPr>
                <w:rFonts w:ascii="Times New Roman" w:hAnsi="Times New Roman" w:cs="Times New Roman"/>
                <w:b/>
                <w:i/>
                <w:iCs/>
              </w:rPr>
              <w:t>Sono pubblicati nella predetta sezione</w:t>
            </w:r>
            <w:r w:rsidRPr="006F703F">
              <w:rPr>
                <w:rFonts w:ascii="Times New Roman" w:hAnsi="Times New Roman" w:cs="Times New Roman"/>
                <w:i/>
                <w:iCs/>
              </w:rPr>
              <w:t xml:space="preserve"> di cui al primo periodo </w:t>
            </w:r>
            <w:r w:rsidRPr="006F703F">
              <w:rPr>
                <w:rFonts w:ascii="Times New Roman" w:hAnsi="Times New Roman" w:cs="Times New Roman"/>
                <w:b/>
                <w:i/>
                <w:iCs/>
              </w:rPr>
              <w:t>la composizione della commissione giudicatrice e i curricula dei suoi componenti</w:t>
            </w:r>
            <w:r w:rsidRPr="006F703F">
              <w:rPr>
                <w:rFonts w:ascii="Times New Roman" w:hAnsi="Times New Roman" w:cs="Times New Roman"/>
                <w:i/>
                <w:iCs/>
              </w:rPr>
              <w:t>, nonché i resoconti della gestione finanziaria dei contratti al termine della loro esecuzione”</w:t>
            </w:r>
            <w:r w:rsidR="00B413FF" w:rsidRPr="006F703F">
              <w:rPr>
                <w:rFonts w:ascii="Times New Roman" w:hAnsi="Times New Roman" w:cs="Times New Roman"/>
                <w:i/>
                <w:iCs/>
              </w:rPr>
              <w:t>.</w:t>
            </w:r>
            <w:r w:rsidR="007518D0" w:rsidRPr="00E9657A">
              <w:rPr>
                <w:rFonts w:ascii="Times New Roman" w:hAnsi="Times New Roman" w:cs="Times New Roman"/>
                <w:i/>
                <w:iCs/>
                <w:strike/>
                <w:color w:val="FF0000"/>
              </w:rPr>
              <w:t xml:space="preserve"> </w:t>
            </w:r>
          </w:p>
        </w:tc>
      </w:tr>
    </w:tbl>
    <w:p w14:paraId="0DF298EA" w14:textId="77777777" w:rsidR="00F74154" w:rsidRPr="00473BF4" w:rsidRDefault="00F74154" w:rsidP="00473BF4">
      <w:pPr>
        <w:autoSpaceDE w:val="0"/>
        <w:autoSpaceDN w:val="0"/>
        <w:adjustRightInd w:val="0"/>
        <w:spacing w:after="80" w:line="240" w:lineRule="auto"/>
        <w:rPr>
          <w:rFonts w:ascii="Times New Roman" w:hAnsi="Times New Roman" w:cs="Times New Roman"/>
        </w:rPr>
      </w:pPr>
    </w:p>
    <w:sectPr w:rsidR="00F74154" w:rsidRPr="00473BF4">
      <w:headerReference w:type="even" r:id="rId10"/>
      <w:headerReference w:type="default" r:id="rId11"/>
      <w:footerReference w:type="default" r:id="rId12"/>
      <w:head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F3079" w14:textId="77777777" w:rsidR="00235204" w:rsidRDefault="00235204" w:rsidP="00272019">
      <w:pPr>
        <w:spacing w:after="0" w:line="240" w:lineRule="auto"/>
      </w:pPr>
      <w:r>
        <w:separator/>
      </w:r>
    </w:p>
  </w:endnote>
  <w:endnote w:type="continuationSeparator" w:id="0">
    <w:p w14:paraId="1F65E477" w14:textId="77777777" w:rsidR="00235204" w:rsidRDefault="00235204" w:rsidP="00272019">
      <w:pPr>
        <w:spacing w:after="0" w:line="240" w:lineRule="auto"/>
      </w:pPr>
      <w:r>
        <w:continuationSeparator/>
      </w:r>
    </w:p>
  </w:endnote>
  <w:endnote w:type="continuationNotice" w:id="1">
    <w:p w14:paraId="7BFC83D1" w14:textId="77777777" w:rsidR="00235204" w:rsidRDefault="002352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457018979"/>
      <w:docPartObj>
        <w:docPartGallery w:val="Page Numbers (Bottom of Page)"/>
        <w:docPartUnique/>
      </w:docPartObj>
    </w:sdtPr>
    <w:sdtEndPr/>
    <w:sdtContent>
      <w:p w14:paraId="055E5F27" w14:textId="0047E5AC" w:rsidR="006D2985" w:rsidRPr="002B7892" w:rsidRDefault="006D2985">
        <w:pPr>
          <w:pStyle w:val="Pidipagina"/>
          <w:jc w:val="center"/>
          <w:rPr>
            <w:rFonts w:ascii="Times New Roman" w:hAnsi="Times New Roman" w:cs="Times New Roman"/>
          </w:rPr>
        </w:pPr>
        <w:r w:rsidRPr="002B7892">
          <w:rPr>
            <w:rFonts w:ascii="Times New Roman" w:hAnsi="Times New Roman" w:cs="Times New Roman"/>
          </w:rPr>
          <w:fldChar w:fldCharType="begin"/>
        </w:r>
        <w:r w:rsidRPr="002B7892">
          <w:rPr>
            <w:rFonts w:ascii="Times New Roman" w:hAnsi="Times New Roman" w:cs="Times New Roman"/>
          </w:rPr>
          <w:instrText>PAGE   \* MERGEFORMAT</w:instrText>
        </w:r>
        <w:r w:rsidRPr="002B7892">
          <w:rPr>
            <w:rFonts w:ascii="Times New Roman" w:hAnsi="Times New Roman" w:cs="Times New Roman"/>
          </w:rPr>
          <w:fldChar w:fldCharType="separate"/>
        </w:r>
        <w:r w:rsidRPr="002B7892">
          <w:rPr>
            <w:rFonts w:ascii="Times New Roman" w:hAnsi="Times New Roman" w:cs="Times New Roman"/>
          </w:rPr>
          <w:t>2</w:t>
        </w:r>
        <w:r w:rsidRPr="002B7892">
          <w:rPr>
            <w:rFonts w:ascii="Times New Roman" w:hAnsi="Times New Roman" w:cs="Times New Roman"/>
          </w:rPr>
          <w:fldChar w:fldCharType="end"/>
        </w:r>
      </w:p>
    </w:sdtContent>
  </w:sdt>
  <w:p w14:paraId="69370914" w14:textId="77777777" w:rsidR="00586781" w:rsidRDefault="005867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88D2B" w14:textId="77777777" w:rsidR="00235204" w:rsidRDefault="00235204" w:rsidP="00272019">
      <w:pPr>
        <w:spacing w:after="0" w:line="240" w:lineRule="auto"/>
      </w:pPr>
      <w:r>
        <w:separator/>
      </w:r>
    </w:p>
  </w:footnote>
  <w:footnote w:type="continuationSeparator" w:id="0">
    <w:p w14:paraId="085DFA2D" w14:textId="77777777" w:rsidR="00235204" w:rsidRDefault="00235204" w:rsidP="00272019">
      <w:pPr>
        <w:spacing w:after="0" w:line="240" w:lineRule="auto"/>
      </w:pPr>
      <w:r>
        <w:continuationSeparator/>
      </w:r>
    </w:p>
  </w:footnote>
  <w:footnote w:type="continuationNotice" w:id="1">
    <w:p w14:paraId="4ECAD6E6" w14:textId="77777777" w:rsidR="00235204" w:rsidRDefault="002352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BD681" w14:textId="6A0534CA" w:rsidR="007578DA" w:rsidRDefault="00AE6487">
    <w:pPr>
      <w:pStyle w:val="Intestazione"/>
    </w:pPr>
    <w:r>
      <w:rPr>
        <w:noProof/>
      </w:rPr>
      <w:pict w14:anchorId="06EDC0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891" o:spid="_x0000_s1026" type="#_x0000_t136" style="position:absolute;margin-left:0;margin-top:0;width:494.9pt;height:141.4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A1BCA" w14:textId="49085E1D" w:rsidR="00167354" w:rsidRPr="00DF659C" w:rsidRDefault="00AE6487" w:rsidP="00167354">
    <w:pPr>
      <w:pStyle w:val="Intestazione"/>
      <w:rPr>
        <w:b/>
        <w:bCs/>
        <w:i/>
        <w:iCs/>
      </w:rPr>
    </w:pPr>
    <w:r>
      <w:rPr>
        <w:noProof/>
      </w:rPr>
      <w:pict w14:anchorId="540E69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892" o:spid="_x0000_s1027" type="#_x0000_t136" style="position:absolute;margin-left:0;margin-top:0;width:494.9pt;height:141.4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167354">
      <w:rPr>
        <w:noProof/>
      </w:rPr>
      <w:drawing>
        <wp:anchor distT="0" distB="0" distL="114300" distR="114300" simplePos="0" relativeHeight="251658240" behindDoc="0" locked="0" layoutInCell="1" allowOverlap="1" wp14:anchorId="2A528878" wp14:editId="384E27B9">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167354">
      <w:rPr>
        <w:b/>
        <w:bCs/>
        <w:i/>
        <w:iCs/>
      </w:rPr>
      <w:t xml:space="preserve">[LOGO </w:t>
    </w:r>
    <w:r w:rsidR="000A1BAB">
      <w:rPr>
        <w:b/>
        <w:bCs/>
        <w:i/>
        <w:iCs/>
      </w:rPr>
      <w:t>SOGGETTO ATTUATORE</w:t>
    </w:r>
    <w:r w:rsidR="00167354">
      <w:rPr>
        <w:b/>
        <w:bCs/>
        <w:i/>
        <w:iCs/>
      </w:rPr>
      <w:t>]</w:t>
    </w:r>
  </w:p>
  <w:p w14:paraId="65E225E3" w14:textId="50AC77A5" w:rsidR="00272019" w:rsidRDefault="00272019" w:rsidP="00167354">
    <w:pPr>
      <w:pStyle w:val="Intestazione"/>
    </w:pPr>
  </w:p>
  <w:p w14:paraId="0376D6E0" w14:textId="77777777" w:rsidR="00586781" w:rsidRPr="00167354" w:rsidRDefault="00586781" w:rsidP="0016735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4DD8" w14:textId="621119F5" w:rsidR="007578DA" w:rsidRDefault="00AE6487">
    <w:pPr>
      <w:pStyle w:val="Intestazione"/>
    </w:pPr>
    <w:r>
      <w:rPr>
        <w:noProof/>
      </w:rPr>
      <w:pict w14:anchorId="2E327D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890" o:spid="_x0000_s1025" type="#_x0000_t136" style="position:absolute;margin-left:0;margin-top:0;width:494.9pt;height:141.4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BA6"/>
    <w:multiLevelType w:val="hybridMultilevel"/>
    <w:tmpl w:val="283E5852"/>
    <w:lvl w:ilvl="0" w:tplc="F590511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2A429B7"/>
    <w:multiLevelType w:val="hybridMultilevel"/>
    <w:tmpl w:val="99D652E8"/>
    <w:lvl w:ilvl="0" w:tplc="BB58BEB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A824A9F"/>
    <w:multiLevelType w:val="hybridMultilevel"/>
    <w:tmpl w:val="63C63BEA"/>
    <w:lvl w:ilvl="0" w:tplc="114281BC">
      <w:start w:val="1"/>
      <w:numFmt w:val="decimal"/>
      <w:lvlText w:val="(%1)"/>
      <w:lvlJc w:val="left"/>
      <w:pPr>
        <w:ind w:left="720" w:hanging="360"/>
      </w:pPr>
      <w:rPr>
        <w:rFonts w:ascii="Times New Roman" w:hAnsi="Times New Roman" w:cs="Times New Roman" w:hint="default"/>
        <w:b w:val="0"/>
        <w:bCs w:val="0"/>
        <w:i w:val="0"/>
        <w:iCs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16041CE"/>
    <w:multiLevelType w:val="hybridMultilevel"/>
    <w:tmpl w:val="2CB693DE"/>
    <w:lvl w:ilvl="0" w:tplc="B8F03F0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B9B3CD9"/>
    <w:multiLevelType w:val="hybridMultilevel"/>
    <w:tmpl w:val="8CBED99E"/>
    <w:lvl w:ilvl="0" w:tplc="2EC0FEC6">
      <w:start w:val="1"/>
      <w:numFmt w:val="decimal"/>
      <w:lvlText w:val="(%1)"/>
      <w:lvlJc w:val="left"/>
      <w:pPr>
        <w:ind w:left="720" w:hanging="360"/>
      </w:pPr>
      <w:rPr>
        <w:rFonts w:ascii="Times New Roman" w:hAnsi="Times New Roman" w:cs="Times New Roman" w:hint="default"/>
        <w:b w:val="0"/>
        <w:bCs w:val="0"/>
        <w:i w:val="0"/>
        <w:iCs w:val="0"/>
        <w:strike w:val="0"/>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CA354BC"/>
    <w:multiLevelType w:val="hybridMultilevel"/>
    <w:tmpl w:val="D12C277C"/>
    <w:lvl w:ilvl="0" w:tplc="7C845BC0">
      <w:start w:val="1"/>
      <w:numFmt w:val="decimal"/>
      <w:lvlText w:val="(%1)"/>
      <w:lvlJc w:val="left"/>
      <w:pPr>
        <w:ind w:left="720" w:hanging="360"/>
      </w:pPr>
      <w:rPr>
        <w:rFonts w:ascii="Times New Roman" w:hAnsi="Times New Roman" w:cs="Times New Roman" w:hint="default"/>
        <w:b w:val="0"/>
        <w:bCs w:val="0"/>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3D67114"/>
    <w:multiLevelType w:val="hybridMultilevel"/>
    <w:tmpl w:val="456CAF94"/>
    <w:lvl w:ilvl="0" w:tplc="B832ED8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9D6D4E"/>
    <w:multiLevelType w:val="hybridMultilevel"/>
    <w:tmpl w:val="602CCD94"/>
    <w:lvl w:ilvl="0" w:tplc="43022D2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706D4C8E"/>
    <w:multiLevelType w:val="hybridMultilevel"/>
    <w:tmpl w:val="9D5C42EE"/>
    <w:lvl w:ilvl="0" w:tplc="C548EE0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3763FA9"/>
    <w:multiLevelType w:val="hybridMultilevel"/>
    <w:tmpl w:val="EB025CFE"/>
    <w:lvl w:ilvl="0" w:tplc="7C845BC0">
      <w:start w:val="1"/>
      <w:numFmt w:val="decimal"/>
      <w:lvlText w:val="(%1)"/>
      <w:lvlJc w:val="left"/>
      <w:pPr>
        <w:ind w:left="720" w:hanging="360"/>
      </w:pPr>
      <w:rPr>
        <w:rFonts w:ascii="Times New Roman" w:hAnsi="Times New Roman" w:cs="Times New Roman" w:hint="default"/>
        <w:b w:val="0"/>
        <w:bCs w:val="0"/>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10"/>
  </w:num>
  <w:num w:numId="5">
    <w:abstractNumId w:val="6"/>
  </w:num>
  <w:num w:numId="6">
    <w:abstractNumId w:val="7"/>
  </w:num>
  <w:num w:numId="7">
    <w:abstractNumId w:val="8"/>
  </w:num>
  <w:num w:numId="8">
    <w:abstractNumId w:val="4"/>
  </w:num>
  <w:num w:numId="9">
    <w:abstractNumId w:val="9"/>
  </w:num>
  <w:num w:numId="10">
    <w:abstractNumId w:val="2"/>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0DA5967"/>
    <w:rsid w:val="00013128"/>
    <w:rsid w:val="000216FA"/>
    <w:rsid w:val="00031629"/>
    <w:rsid w:val="0004628A"/>
    <w:rsid w:val="00047B3B"/>
    <w:rsid w:val="00052734"/>
    <w:rsid w:val="000552AE"/>
    <w:rsid w:val="00071E4C"/>
    <w:rsid w:val="000769FA"/>
    <w:rsid w:val="000777E8"/>
    <w:rsid w:val="00090006"/>
    <w:rsid w:val="000A1BAB"/>
    <w:rsid w:val="000B71F0"/>
    <w:rsid w:val="000C26D5"/>
    <w:rsid w:val="000E0996"/>
    <w:rsid w:val="000E23A8"/>
    <w:rsid w:val="001027B7"/>
    <w:rsid w:val="0012187D"/>
    <w:rsid w:val="00123011"/>
    <w:rsid w:val="00160AA6"/>
    <w:rsid w:val="00167354"/>
    <w:rsid w:val="00182BFF"/>
    <w:rsid w:val="00191603"/>
    <w:rsid w:val="001958B4"/>
    <w:rsid w:val="001A2763"/>
    <w:rsid w:val="001A417C"/>
    <w:rsid w:val="001B26A1"/>
    <w:rsid w:val="001E06B3"/>
    <w:rsid w:val="001E0DF1"/>
    <w:rsid w:val="001E1B60"/>
    <w:rsid w:val="001E357E"/>
    <w:rsid w:val="001F41BE"/>
    <w:rsid w:val="00200D88"/>
    <w:rsid w:val="0020374F"/>
    <w:rsid w:val="0020446E"/>
    <w:rsid w:val="002253FF"/>
    <w:rsid w:val="00235204"/>
    <w:rsid w:val="00240CD8"/>
    <w:rsid w:val="00256048"/>
    <w:rsid w:val="002657EB"/>
    <w:rsid w:val="00272019"/>
    <w:rsid w:val="002A283B"/>
    <w:rsid w:val="002B0D83"/>
    <w:rsid w:val="002B1470"/>
    <w:rsid w:val="002B7808"/>
    <w:rsid w:val="002B7892"/>
    <w:rsid w:val="002C329F"/>
    <w:rsid w:val="002E5268"/>
    <w:rsid w:val="0030688F"/>
    <w:rsid w:val="00312FED"/>
    <w:rsid w:val="00325451"/>
    <w:rsid w:val="00331330"/>
    <w:rsid w:val="003342E1"/>
    <w:rsid w:val="00337366"/>
    <w:rsid w:val="00337BD0"/>
    <w:rsid w:val="00337E4B"/>
    <w:rsid w:val="00350118"/>
    <w:rsid w:val="003530AB"/>
    <w:rsid w:val="0038306B"/>
    <w:rsid w:val="0038678D"/>
    <w:rsid w:val="003905EE"/>
    <w:rsid w:val="00392884"/>
    <w:rsid w:val="00395CCC"/>
    <w:rsid w:val="003A7F4C"/>
    <w:rsid w:val="003B2AE9"/>
    <w:rsid w:val="003B7E71"/>
    <w:rsid w:val="003C1921"/>
    <w:rsid w:val="003D4A80"/>
    <w:rsid w:val="003D5D98"/>
    <w:rsid w:val="003D683A"/>
    <w:rsid w:val="003E3517"/>
    <w:rsid w:val="00404A0D"/>
    <w:rsid w:val="00405741"/>
    <w:rsid w:val="00406A67"/>
    <w:rsid w:val="004112C5"/>
    <w:rsid w:val="004136C5"/>
    <w:rsid w:val="00440C0D"/>
    <w:rsid w:val="00442231"/>
    <w:rsid w:val="00447B07"/>
    <w:rsid w:val="00451665"/>
    <w:rsid w:val="00452DAA"/>
    <w:rsid w:val="00461F80"/>
    <w:rsid w:val="004667F0"/>
    <w:rsid w:val="004671BE"/>
    <w:rsid w:val="004677CC"/>
    <w:rsid w:val="00473BF4"/>
    <w:rsid w:val="00474FD9"/>
    <w:rsid w:val="004A1DD3"/>
    <w:rsid w:val="004C5223"/>
    <w:rsid w:val="004C6E53"/>
    <w:rsid w:val="004D360E"/>
    <w:rsid w:val="004F0EC0"/>
    <w:rsid w:val="004F21E6"/>
    <w:rsid w:val="005056D0"/>
    <w:rsid w:val="00516A8C"/>
    <w:rsid w:val="00520CC6"/>
    <w:rsid w:val="0052492A"/>
    <w:rsid w:val="00534BD2"/>
    <w:rsid w:val="00550BF7"/>
    <w:rsid w:val="005514C1"/>
    <w:rsid w:val="0056389A"/>
    <w:rsid w:val="005820B9"/>
    <w:rsid w:val="00586781"/>
    <w:rsid w:val="0059323A"/>
    <w:rsid w:val="00596A3F"/>
    <w:rsid w:val="005A0DA0"/>
    <w:rsid w:val="005A6ADE"/>
    <w:rsid w:val="005B4862"/>
    <w:rsid w:val="005E13A0"/>
    <w:rsid w:val="005F4D49"/>
    <w:rsid w:val="006009B5"/>
    <w:rsid w:val="00602EE8"/>
    <w:rsid w:val="00644A2E"/>
    <w:rsid w:val="00653C53"/>
    <w:rsid w:val="006858CE"/>
    <w:rsid w:val="00685B72"/>
    <w:rsid w:val="00697E2E"/>
    <w:rsid w:val="006B1E9A"/>
    <w:rsid w:val="006B7D2D"/>
    <w:rsid w:val="006C7C03"/>
    <w:rsid w:val="006D2985"/>
    <w:rsid w:val="006D7734"/>
    <w:rsid w:val="006E39F2"/>
    <w:rsid w:val="006F703F"/>
    <w:rsid w:val="007012B3"/>
    <w:rsid w:val="00701DC7"/>
    <w:rsid w:val="00704F2F"/>
    <w:rsid w:val="007073DA"/>
    <w:rsid w:val="00730C7E"/>
    <w:rsid w:val="00732BED"/>
    <w:rsid w:val="007404EB"/>
    <w:rsid w:val="007518D0"/>
    <w:rsid w:val="007578DA"/>
    <w:rsid w:val="00761A43"/>
    <w:rsid w:val="007635F5"/>
    <w:rsid w:val="007801E6"/>
    <w:rsid w:val="00793C8E"/>
    <w:rsid w:val="00797813"/>
    <w:rsid w:val="00797B9A"/>
    <w:rsid w:val="007E046B"/>
    <w:rsid w:val="007E2D02"/>
    <w:rsid w:val="007F287E"/>
    <w:rsid w:val="008058AA"/>
    <w:rsid w:val="00825AAB"/>
    <w:rsid w:val="00830EFF"/>
    <w:rsid w:val="00836B3F"/>
    <w:rsid w:val="0085147C"/>
    <w:rsid w:val="00851F0B"/>
    <w:rsid w:val="00852525"/>
    <w:rsid w:val="008743E4"/>
    <w:rsid w:val="00875B5C"/>
    <w:rsid w:val="00877195"/>
    <w:rsid w:val="00893CD3"/>
    <w:rsid w:val="00893D92"/>
    <w:rsid w:val="008A418B"/>
    <w:rsid w:val="008C2FCE"/>
    <w:rsid w:val="008D18EE"/>
    <w:rsid w:val="008F4F7B"/>
    <w:rsid w:val="008F67BA"/>
    <w:rsid w:val="00903733"/>
    <w:rsid w:val="009125D9"/>
    <w:rsid w:val="009160CB"/>
    <w:rsid w:val="00923547"/>
    <w:rsid w:val="00942542"/>
    <w:rsid w:val="0094585B"/>
    <w:rsid w:val="00986B52"/>
    <w:rsid w:val="009A32FE"/>
    <w:rsid w:val="009A737A"/>
    <w:rsid w:val="009B572C"/>
    <w:rsid w:val="009B702D"/>
    <w:rsid w:val="009C6D01"/>
    <w:rsid w:val="009D08F7"/>
    <w:rsid w:val="009D6C84"/>
    <w:rsid w:val="009D7446"/>
    <w:rsid w:val="009D7F78"/>
    <w:rsid w:val="00A022CE"/>
    <w:rsid w:val="00A039E3"/>
    <w:rsid w:val="00A0779F"/>
    <w:rsid w:val="00A0788E"/>
    <w:rsid w:val="00A07B01"/>
    <w:rsid w:val="00A14731"/>
    <w:rsid w:val="00A321AA"/>
    <w:rsid w:val="00A34433"/>
    <w:rsid w:val="00A4232C"/>
    <w:rsid w:val="00A42B7F"/>
    <w:rsid w:val="00A47428"/>
    <w:rsid w:val="00A51894"/>
    <w:rsid w:val="00A60387"/>
    <w:rsid w:val="00A6211B"/>
    <w:rsid w:val="00A70BF4"/>
    <w:rsid w:val="00A71593"/>
    <w:rsid w:val="00AA44C4"/>
    <w:rsid w:val="00AB36A3"/>
    <w:rsid w:val="00AC67B0"/>
    <w:rsid w:val="00AE6487"/>
    <w:rsid w:val="00AF27F1"/>
    <w:rsid w:val="00AF41BC"/>
    <w:rsid w:val="00AF57A9"/>
    <w:rsid w:val="00AF7B40"/>
    <w:rsid w:val="00B24A7D"/>
    <w:rsid w:val="00B413FF"/>
    <w:rsid w:val="00B4582D"/>
    <w:rsid w:val="00B53A1F"/>
    <w:rsid w:val="00BB683F"/>
    <w:rsid w:val="00BC6F84"/>
    <w:rsid w:val="00BD63E2"/>
    <w:rsid w:val="00BE53F7"/>
    <w:rsid w:val="00C22CAF"/>
    <w:rsid w:val="00C3314E"/>
    <w:rsid w:val="00C44A6A"/>
    <w:rsid w:val="00C55BD2"/>
    <w:rsid w:val="00C67F71"/>
    <w:rsid w:val="00C71589"/>
    <w:rsid w:val="00C818B4"/>
    <w:rsid w:val="00C85D8B"/>
    <w:rsid w:val="00C94E5C"/>
    <w:rsid w:val="00C97C4F"/>
    <w:rsid w:val="00CC719D"/>
    <w:rsid w:val="00CF3CA8"/>
    <w:rsid w:val="00CF6FFC"/>
    <w:rsid w:val="00D030F2"/>
    <w:rsid w:val="00D25602"/>
    <w:rsid w:val="00D302C4"/>
    <w:rsid w:val="00D3398A"/>
    <w:rsid w:val="00D55E10"/>
    <w:rsid w:val="00D75FD3"/>
    <w:rsid w:val="00D815EC"/>
    <w:rsid w:val="00DA2777"/>
    <w:rsid w:val="00DA4FAC"/>
    <w:rsid w:val="00DB67FA"/>
    <w:rsid w:val="00DC40F8"/>
    <w:rsid w:val="00DC69A8"/>
    <w:rsid w:val="00DC776C"/>
    <w:rsid w:val="00DD067B"/>
    <w:rsid w:val="00DE39D2"/>
    <w:rsid w:val="00DE76CE"/>
    <w:rsid w:val="00DF4A95"/>
    <w:rsid w:val="00DF547D"/>
    <w:rsid w:val="00DF54D3"/>
    <w:rsid w:val="00E15F23"/>
    <w:rsid w:val="00E22B7C"/>
    <w:rsid w:val="00E41600"/>
    <w:rsid w:val="00E5113F"/>
    <w:rsid w:val="00E52255"/>
    <w:rsid w:val="00E63871"/>
    <w:rsid w:val="00E63996"/>
    <w:rsid w:val="00E77D9B"/>
    <w:rsid w:val="00E9137F"/>
    <w:rsid w:val="00E94A67"/>
    <w:rsid w:val="00E9657A"/>
    <w:rsid w:val="00E977BE"/>
    <w:rsid w:val="00EA1AFC"/>
    <w:rsid w:val="00EA3D8C"/>
    <w:rsid w:val="00EB2A30"/>
    <w:rsid w:val="00EB4FF6"/>
    <w:rsid w:val="00EB5660"/>
    <w:rsid w:val="00EB7A03"/>
    <w:rsid w:val="00ED4D70"/>
    <w:rsid w:val="00ED7AE9"/>
    <w:rsid w:val="00EE18A7"/>
    <w:rsid w:val="00EE1C10"/>
    <w:rsid w:val="00EE6934"/>
    <w:rsid w:val="00EF6399"/>
    <w:rsid w:val="00F104C8"/>
    <w:rsid w:val="00F13C1A"/>
    <w:rsid w:val="00F17304"/>
    <w:rsid w:val="00F214EE"/>
    <w:rsid w:val="00F27750"/>
    <w:rsid w:val="00F5313E"/>
    <w:rsid w:val="00F5433E"/>
    <w:rsid w:val="00F60E76"/>
    <w:rsid w:val="00F64743"/>
    <w:rsid w:val="00F66D3C"/>
    <w:rsid w:val="00F74154"/>
    <w:rsid w:val="00F76B0C"/>
    <w:rsid w:val="00F77B21"/>
    <w:rsid w:val="00F816E8"/>
    <w:rsid w:val="00F83CD8"/>
    <w:rsid w:val="00F94F30"/>
    <w:rsid w:val="00FD765E"/>
    <w:rsid w:val="00FE74E1"/>
    <w:rsid w:val="00FE768E"/>
    <w:rsid w:val="00FF3BBA"/>
    <w:rsid w:val="10DA596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A5967"/>
  <w15:chartTrackingRefBased/>
  <w15:docId w15:val="{BF17CB9C-D005-4137-89AF-3CD3F5D2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4223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442231"/>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nhideWhenUsed/>
    <w:rsid w:val="002720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019"/>
  </w:style>
  <w:style w:type="paragraph" w:styleId="Pidipagina">
    <w:name w:val="footer"/>
    <w:basedOn w:val="Normale"/>
    <w:link w:val="PidipaginaCarattere"/>
    <w:uiPriority w:val="99"/>
    <w:unhideWhenUsed/>
    <w:rsid w:val="002720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019"/>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9B572C"/>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B572C"/>
  </w:style>
  <w:style w:type="table" w:customStyle="1" w:styleId="Grigliatabella1">
    <w:name w:val="Griglia tabella1"/>
    <w:basedOn w:val="Tabellanormale"/>
    <w:next w:val="Grigliatabella"/>
    <w:uiPriority w:val="39"/>
    <w:rsid w:val="00DB67F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DB67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25AAB"/>
    <w:pPr>
      <w:spacing w:after="0" w:line="240" w:lineRule="auto"/>
    </w:pPr>
  </w:style>
  <w:style w:type="character" w:styleId="Rimandocommento">
    <w:name w:val="annotation reference"/>
    <w:basedOn w:val="Carpredefinitoparagrafo"/>
    <w:uiPriority w:val="99"/>
    <w:semiHidden/>
    <w:unhideWhenUsed/>
    <w:rsid w:val="00240CD8"/>
    <w:rPr>
      <w:sz w:val="16"/>
      <w:szCs w:val="16"/>
    </w:rPr>
  </w:style>
  <w:style w:type="paragraph" w:styleId="Testocommento">
    <w:name w:val="annotation text"/>
    <w:basedOn w:val="Normale"/>
    <w:link w:val="TestocommentoCarattere"/>
    <w:uiPriority w:val="99"/>
    <w:unhideWhenUsed/>
    <w:rsid w:val="00240CD8"/>
    <w:pPr>
      <w:spacing w:line="240" w:lineRule="auto"/>
    </w:pPr>
    <w:rPr>
      <w:sz w:val="20"/>
      <w:szCs w:val="20"/>
    </w:rPr>
  </w:style>
  <w:style w:type="character" w:customStyle="1" w:styleId="TestocommentoCarattere">
    <w:name w:val="Testo commento Carattere"/>
    <w:basedOn w:val="Carpredefinitoparagrafo"/>
    <w:link w:val="Testocommento"/>
    <w:uiPriority w:val="99"/>
    <w:rsid w:val="00240CD8"/>
    <w:rPr>
      <w:sz w:val="20"/>
      <w:szCs w:val="20"/>
    </w:rPr>
  </w:style>
  <w:style w:type="paragraph" w:styleId="Soggettocommento">
    <w:name w:val="annotation subject"/>
    <w:basedOn w:val="Testocommento"/>
    <w:next w:val="Testocommento"/>
    <w:link w:val="SoggettocommentoCarattere"/>
    <w:uiPriority w:val="99"/>
    <w:semiHidden/>
    <w:unhideWhenUsed/>
    <w:rsid w:val="00240CD8"/>
    <w:rPr>
      <w:b/>
      <w:bCs/>
    </w:rPr>
  </w:style>
  <w:style w:type="character" w:customStyle="1" w:styleId="SoggettocommentoCarattere">
    <w:name w:val="Soggetto commento Carattere"/>
    <w:basedOn w:val="TestocommentoCarattere"/>
    <w:link w:val="Soggettocommento"/>
    <w:uiPriority w:val="99"/>
    <w:semiHidden/>
    <w:rsid w:val="00240CD8"/>
    <w:rPr>
      <w:b/>
      <w:bCs/>
      <w:sz w:val="20"/>
      <w:szCs w:val="20"/>
    </w:rPr>
  </w:style>
  <w:style w:type="paragraph" w:styleId="Testofumetto">
    <w:name w:val="Balloon Text"/>
    <w:basedOn w:val="Normale"/>
    <w:link w:val="TestofumettoCarattere"/>
    <w:uiPriority w:val="99"/>
    <w:semiHidden/>
    <w:unhideWhenUsed/>
    <w:rsid w:val="00447B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47B07"/>
    <w:rPr>
      <w:rFonts w:ascii="Segoe UI" w:hAnsi="Segoe UI" w:cs="Segoe UI"/>
      <w:sz w:val="18"/>
      <w:szCs w:val="18"/>
    </w:rPr>
  </w:style>
  <w:style w:type="character" w:styleId="Collegamentoipertestuale">
    <w:name w:val="Hyperlink"/>
    <w:basedOn w:val="Carpredefinitoparagrafo"/>
    <w:uiPriority w:val="99"/>
    <w:unhideWhenUsed/>
    <w:rsid w:val="00A71593"/>
    <w:rPr>
      <w:color w:val="0563C1" w:themeColor="hyperlink"/>
      <w:u w:val="single"/>
    </w:rPr>
  </w:style>
  <w:style w:type="character" w:styleId="Menzionenonrisolta">
    <w:name w:val="Unresolved Mention"/>
    <w:basedOn w:val="Carpredefinitoparagrafo"/>
    <w:uiPriority w:val="99"/>
    <w:semiHidden/>
    <w:unhideWhenUsed/>
    <w:rsid w:val="00A71593"/>
    <w:rPr>
      <w:color w:val="605E5C"/>
      <w:shd w:val="clear" w:color="auto" w:fill="E1DFDD"/>
    </w:rPr>
  </w:style>
  <w:style w:type="table" w:customStyle="1" w:styleId="Grigliatabella11">
    <w:name w:val="Griglia tabella11"/>
    <w:basedOn w:val="Tabellanormale"/>
    <w:next w:val="Grigliatabella"/>
    <w:uiPriority w:val="39"/>
    <w:rsid w:val="00CC719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DE7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8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D86FA-D428-4F14-B842-0A95E4543415}">
  <ds:schemaRefs>
    <ds:schemaRef ds:uri="http://schemas.microsoft.com/sharepoint/v3/contenttype/forms"/>
  </ds:schemaRefs>
</ds:datastoreItem>
</file>

<file path=customXml/itemProps2.xml><?xml version="1.0" encoding="utf-8"?>
<ds:datastoreItem xmlns:ds="http://schemas.openxmlformats.org/officeDocument/2006/customXml" ds:itemID="{91B300E0-5346-4650-8BC0-8381A3403292}">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3.xml><?xml version="1.0" encoding="utf-8"?>
<ds:datastoreItem xmlns:ds="http://schemas.openxmlformats.org/officeDocument/2006/customXml" ds:itemID="{BB813AD8-6647-4013-8806-C235E0F66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3812</Words>
  <Characters>21733</Characters>
  <Application>Microsoft Office Word</Application>
  <DocSecurity>0</DocSecurity>
  <Lines>181</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Gori</cp:lastModifiedBy>
  <cp:revision>18</cp:revision>
  <dcterms:created xsi:type="dcterms:W3CDTF">2022-11-17T15:38:00Z</dcterms:created>
  <dcterms:modified xsi:type="dcterms:W3CDTF">2024-02-02T14:57:00Z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